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959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关于遴选招标代理机构的公告</w:t>
      </w:r>
    </w:p>
    <w:p w14:paraId="1D4E41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p>
    <w:p w14:paraId="154A68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为依法依规开展</w:t>
      </w:r>
      <w:r>
        <w:rPr>
          <w:rFonts w:hint="eastAsia" w:ascii="仿宋_GB2312" w:hAnsi="仿宋_GB2312" w:eastAsia="仿宋_GB2312" w:cs="仿宋_GB2312"/>
          <w:i w:val="0"/>
          <w:iCs w:val="0"/>
          <w:caps w:val="0"/>
          <w:color w:val="auto"/>
          <w:spacing w:val="0"/>
          <w:sz w:val="32"/>
          <w:szCs w:val="32"/>
          <w:shd w:val="clear" w:fill="FFFFFF"/>
          <w:lang w:val="en-US" w:eastAsia="zh-CN"/>
        </w:rPr>
        <w:t>2025廉江半程马拉松赛事</w:t>
      </w:r>
      <w:r>
        <w:rPr>
          <w:rFonts w:hint="eastAsia" w:ascii="仿宋_GB2312" w:hAnsi="仿宋_GB2312" w:eastAsia="仿宋_GB2312" w:cs="仿宋_GB2312"/>
          <w:sz w:val="32"/>
          <w:szCs w:val="40"/>
          <w:lang w:val="en-US" w:eastAsia="zh-CN"/>
        </w:rPr>
        <w:t>组织与运行服务</w:t>
      </w:r>
      <w:r>
        <w:rPr>
          <w:rFonts w:hint="eastAsia" w:ascii="仿宋_GB2312" w:hAnsi="仿宋_GB2312" w:eastAsia="仿宋_GB2312" w:cs="仿宋_GB2312"/>
          <w:i w:val="0"/>
          <w:iCs w:val="0"/>
          <w:caps w:val="0"/>
          <w:color w:val="auto"/>
          <w:spacing w:val="0"/>
          <w:sz w:val="32"/>
          <w:szCs w:val="32"/>
          <w:shd w:val="clear" w:fill="FFFFFF"/>
        </w:rPr>
        <w:t>采购招投标，委托信誉好、综合实力强、工作质量高的招标代理机构提供招投标相关服务工作，我局拟公开遴选1家招标代理机构，现将有关事项公告如下</w:t>
      </w:r>
      <w:r>
        <w:rPr>
          <w:rFonts w:hint="eastAsia" w:ascii="仿宋_GB2312" w:hAnsi="仿宋_GB2312" w:eastAsia="仿宋_GB2312" w:cs="仿宋_GB2312"/>
          <w:i w:val="0"/>
          <w:iCs w:val="0"/>
          <w:caps w:val="0"/>
          <w:color w:val="auto"/>
          <w:spacing w:val="0"/>
          <w:sz w:val="32"/>
          <w:szCs w:val="32"/>
          <w:shd w:val="clear" w:fill="FFFFFF"/>
          <w:lang w:eastAsia="zh-CN"/>
        </w:rPr>
        <w:t>。</w:t>
      </w:r>
    </w:p>
    <w:p w14:paraId="34AEDAD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b w:val="0"/>
          <w:bCs w:val="0"/>
          <w:kern w:val="2"/>
          <w:sz w:val="32"/>
          <w:szCs w:val="32"/>
          <w:lang w:val="en-US" w:eastAsia="zh-CN" w:bidi="ar-SA"/>
        </w:rPr>
        <w:t>一、项目名称：</w:t>
      </w:r>
      <w:r>
        <w:rPr>
          <w:rFonts w:hint="eastAsia" w:ascii="仿宋_GB2312" w:hAnsi="仿宋_GB2312" w:eastAsia="仿宋_GB2312" w:cs="仿宋_GB2312"/>
          <w:b w:val="0"/>
          <w:bCs w:val="0"/>
          <w:kern w:val="2"/>
          <w:sz w:val="32"/>
          <w:szCs w:val="32"/>
          <w:lang w:val="en-US" w:eastAsia="zh-CN" w:bidi="ar-SA"/>
        </w:rPr>
        <w:t>2025廉江半程马拉松赛事</w:t>
      </w:r>
      <w:r>
        <w:rPr>
          <w:rFonts w:hint="eastAsia" w:ascii="仿宋_GB2312" w:hAnsi="仿宋_GB2312" w:eastAsia="仿宋_GB2312" w:cs="仿宋_GB2312"/>
          <w:sz w:val="32"/>
          <w:szCs w:val="40"/>
          <w:lang w:val="en-US" w:eastAsia="zh-CN"/>
        </w:rPr>
        <w:t>组织与运行服务</w:t>
      </w:r>
    </w:p>
    <w:p w14:paraId="498AC4F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二、</w:t>
      </w:r>
      <w:r>
        <w:rPr>
          <w:rFonts w:hint="eastAsia" w:ascii="黑体" w:hAnsi="黑体" w:eastAsia="黑体" w:cs="黑体"/>
          <w:b w:val="0"/>
          <w:bCs w:val="0"/>
          <w:i w:val="0"/>
          <w:iCs w:val="0"/>
          <w:caps w:val="0"/>
          <w:color w:val="auto"/>
          <w:spacing w:val="0"/>
          <w:sz w:val="32"/>
          <w:szCs w:val="32"/>
          <w:shd w:val="clear" w:fill="FFFFFF"/>
        </w:rPr>
        <w:t>服务内容：</w:t>
      </w:r>
    </w:p>
    <w:p w14:paraId="4CD748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根据相关法律法规及行业有关规定、标准、规范的要求，在约定时间内组织开展</w:t>
      </w:r>
      <w:r>
        <w:rPr>
          <w:rFonts w:hint="eastAsia" w:ascii="仿宋_GB2312" w:hAnsi="仿宋_GB2312" w:eastAsia="仿宋_GB2312" w:cs="仿宋_GB2312"/>
          <w:i w:val="0"/>
          <w:iCs w:val="0"/>
          <w:caps w:val="0"/>
          <w:color w:val="auto"/>
          <w:spacing w:val="0"/>
          <w:sz w:val="32"/>
          <w:szCs w:val="32"/>
          <w:shd w:val="clear" w:fill="FFFFFF"/>
          <w:lang w:val="en-US" w:eastAsia="zh-CN"/>
        </w:rPr>
        <w:t>2025廉江半程马拉松赛事</w:t>
      </w:r>
      <w:r>
        <w:rPr>
          <w:rFonts w:hint="eastAsia" w:ascii="仿宋_GB2312" w:hAnsi="仿宋_GB2312" w:eastAsia="仿宋_GB2312" w:cs="仿宋_GB2312"/>
          <w:i w:val="0"/>
          <w:iCs w:val="0"/>
          <w:caps w:val="0"/>
          <w:color w:val="auto"/>
          <w:spacing w:val="0"/>
          <w:sz w:val="32"/>
          <w:szCs w:val="32"/>
          <w:shd w:val="clear" w:fill="FFFFFF"/>
        </w:rPr>
        <w:t>采购招标全过程服务工作，包括：编制招标文件、发布招标公告、投标人资格审查及招标文件发售，组织开标、评标活动，签发中标通知书，对投标人质疑的书面答复、招投标资料归档及其他与招标投标相关工作。</w:t>
      </w:r>
    </w:p>
    <w:p w14:paraId="2698D3B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三、项目金额</w:t>
      </w:r>
      <w:bookmarkStart w:id="0" w:name="_GoBack"/>
      <w:bookmarkEnd w:id="0"/>
    </w:p>
    <w:p w14:paraId="33131B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项目投资估算约</w:t>
      </w:r>
      <w:r>
        <w:rPr>
          <w:rFonts w:hint="eastAsia" w:ascii="仿宋_GB2312" w:hAnsi="仿宋_GB2312" w:eastAsia="仿宋_GB2312" w:cs="仿宋_GB2312"/>
          <w:i w:val="0"/>
          <w:iCs w:val="0"/>
          <w:caps w:val="0"/>
          <w:color w:val="auto"/>
          <w:spacing w:val="0"/>
          <w:sz w:val="32"/>
          <w:szCs w:val="32"/>
          <w:shd w:val="clear" w:fill="FFFFFF"/>
          <w:lang w:val="en-US" w:eastAsia="zh-CN"/>
        </w:rPr>
        <w:t>350</w:t>
      </w:r>
      <w:r>
        <w:rPr>
          <w:rFonts w:hint="eastAsia" w:ascii="仿宋_GB2312" w:hAnsi="仿宋_GB2312" w:eastAsia="仿宋_GB2312" w:cs="仿宋_GB2312"/>
          <w:i w:val="0"/>
          <w:iCs w:val="0"/>
          <w:caps w:val="0"/>
          <w:color w:val="auto"/>
          <w:spacing w:val="0"/>
          <w:sz w:val="32"/>
          <w:szCs w:val="32"/>
          <w:shd w:val="clear" w:fill="FFFFFF"/>
        </w:rPr>
        <w:t>万元，招标代理服务费收费采用差额定率累进法计算方式，以本项目中标价为基数，参照国家发展计划委员会颁发的计价格〔20</w:t>
      </w:r>
      <w:r>
        <w:rPr>
          <w:rFonts w:hint="eastAsia" w:ascii="仿宋_GB2312" w:hAnsi="仿宋_GB2312" w:eastAsia="仿宋_GB2312" w:cs="仿宋_GB2312"/>
          <w:i w:val="0"/>
          <w:iCs w:val="0"/>
          <w:caps w:val="0"/>
          <w:color w:val="auto"/>
          <w:spacing w:val="0"/>
          <w:sz w:val="32"/>
          <w:szCs w:val="32"/>
          <w:shd w:val="clear" w:fill="FFFFFF"/>
          <w:lang w:val="en-US" w:eastAsia="zh-CN"/>
        </w:rPr>
        <w:t>02</w:t>
      </w:r>
      <w:r>
        <w:rPr>
          <w:rFonts w:hint="eastAsia" w:ascii="仿宋_GB2312" w:hAnsi="仿宋_GB2312" w:eastAsia="仿宋_GB2312" w:cs="仿宋_GB2312"/>
          <w:i w:val="0"/>
          <w:iCs w:val="0"/>
          <w:caps w:val="0"/>
          <w:color w:val="auto"/>
          <w:spacing w:val="0"/>
          <w:sz w:val="32"/>
          <w:szCs w:val="32"/>
          <w:shd w:val="clear" w:fill="FFFFFF"/>
        </w:rPr>
        <w:t>〕1980号、国家发改委〔20</w:t>
      </w:r>
      <w:r>
        <w:rPr>
          <w:rFonts w:hint="eastAsia" w:ascii="仿宋_GB2312" w:hAnsi="仿宋_GB2312" w:eastAsia="仿宋_GB2312" w:cs="仿宋_GB2312"/>
          <w:i w:val="0"/>
          <w:iCs w:val="0"/>
          <w:caps w:val="0"/>
          <w:color w:val="auto"/>
          <w:spacing w:val="0"/>
          <w:sz w:val="32"/>
          <w:szCs w:val="32"/>
          <w:shd w:val="clear" w:fill="FFFFFF"/>
          <w:lang w:val="en-US" w:eastAsia="zh-CN"/>
        </w:rPr>
        <w:t>03</w:t>
      </w:r>
      <w:r>
        <w:rPr>
          <w:rFonts w:hint="eastAsia" w:ascii="仿宋_GB2312" w:hAnsi="仿宋_GB2312" w:eastAsia="仿宋_GB2312" w:cs="仿宋_GB2312"/>
          <w:i w:val="0"/>
          <w:iCs w:val="0"/>
          <w:caps w:val="0"/>
          <w:color w:val="auto"/>
          <w:spacing w:val="0"/>
          <w:sz w:val="32"/>
          <w:szCs w:val="32"/>
          <w:shd w:val="clear" w:fill="FFFFFF"/>
        </w:rPr>
        <w:t>〕857号及发改价格〔20</w:t>
      </w:r>
      <w:r>
        <w:rPr>
          <w:rFonts w:hint="eastAsia" w:ascii="仿宋_GB2312" w:hAnsi="仿宋_GB2312" w:eastAsia="仿宋_GB2312" w:cs="仿宋_GB2312"/>
          <w:i w:val="0"/>
          <w:iCs w:val="0"/>
          <w:caps w:val="0"/>
          <w:color w:val="auto"/>
          <w:spacing w:val="0"/>
          <w:sz w:val="32"/>
          <w:szCs w:val="32"/>
          <w:shd w:val="clear" w:fill="FFFFFF"/>
          <w:lang w:val="en-US" w:eastAsia="zh-CN"/>
        </w:rPr>
        <w:t>11</w:t>
      </w:r>
      <w:r>
        <w:rPr>
          <w:rFonts w:hint="eastAsia" w:ascii="仿宋_GB2312" w:hAnsi="仿宋_GB2312" w:eastAsia="仿宋_GB2312" w:cs="仿宋_GB2312"/>
          <w:i w:val="0"/>
          <w:iCs w:val="0"/>
          <w:caps w:val="0"/>
          <w:color w:val="auto"/>
          <w:spacing w:val="0"/>
          <w:sz w:val="32"/>
          <w:szCs w:val="32"/>
          <w:shd w:val="clear" w:fill="FFFFFF"/>
        </w:rPr>
        <w:t>〕534号规定计费标准要求</w:t>
      </w:r>
      <w:r>
        <w:rPr>
          <w:rFonts w:hint="eastAsia" w:ascii="仿宋_GB2312" w:hAnsi="仿宋_GB2312" w:eastAsia="仿宋_GB2312" w:cs="仿宋_GB2312"/>
          <w:i w:val="0"/>
          <w:iCs w:val="0"/>
          <w:caps w:val="0"/>
          <w:color w:val="auto"/>
          <w:spacing w:val="0"/>
          <w:sz w:val="32"/>
          <w:szCs w:val="32"/>
          <w:shd w:val="clear" w:fill="FFFFFF"/>
          <w:lang w:eastAsia="zh-CN"/>
        </w:rPr>
        <w:t>报下浮率。</w:t>
      </w:r>
      <w:r>
        <w:rPr>
          <w:rFonts w:hint="eastAsia" w:ascii="仿宋_GB2312" w:hAnsi="仿宋_GB2312" w:eastAsia="仿宋_GB2312" w:cs="仿宋_GB2312"/>
          <w:i w:val="0"/>
          <w:iCs w:val="0"/>
          <w:caps w:val="0"/>
          <w:color w:val="auto"/>
          <w:spacing w:val="0"/>
          <w:sz w:val="32"/>
          <w:szCs w:val="32"/>
          <w:shd w:val="clear" w:fill="FFFFFF"/>
        </w:rPr>
        <w:t>投标报价采用“按标准价报下浮率（%）”的方式，例如：八折则按标准价下浮率20%。招标代理费由项目中标公司支付。</w:t>
      </w:r>
    </w:p>
    <w:p w14:paraId="6C01E94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四、投标人资格条件：</w:t>
      </w:r>
    </w:p>
    <w:p w14:paraId="49542E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具备以下条件的招标代理机构，可以提出申请：</w:t>
      </w:r>
    </w:p>
    <w:p w14:paraId="0AC00431">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投标人必须具备《中华人民共和国政府采购法》第二十二条所规定的条件（见附件1《投标申请人声明》）。</w:t>
      </w:r>
    </w:p>
    <w:p w14:paraId="7A853DCE">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投标申请人具有独立法人资格，持有工商行政管理部门核发的法人营业执照</w:t>
      </w:r>
      <w:r>
        <w:rPr>
          <w:rFonts w:hint="eastAsia" w:ascii="仿宋_GB2312" w:hAnsi="仿宋_GB2312" w:eastAsia="仿宋_GB2312" w:cs="仿宋_GB2312"/>
          <w:i w:val="0"/>
          <w:iCs w:val="0"/>
          <w:caps w:val="0"/>
          <w:color w:val="auto"/>
          <w:spacing w:val="0"/>
          <w:sz w:val="32"/>
          <w:szCs w:val="32"/>
          <w:shd w:val="clear" w:fill="FFFFFF"/>
          <w:lang w:eastAsia="zh-CN"/>
        </w:rPr>
        <w:t>。</w:t>
      </w:r>
    </w:p>
    <w:p w14:paraId="6B53F391">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投标人未被列入“信用中国”网站中“记录失信被执行人或重大税收违法案件当事人名单或政府采购严重违法失信行为”的记录名单；</w:t>
      </w:r>
    </w:p>
    <w:p w14:paraId="7E61811B">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投标人不处于“中国政府采购网”中“政府采购严重违法失信行为信息记录”的禁止参加政府采购活动期间。</w:t>
      </w:r>
    </w:p>
    <w:p w14:paraId="48ED12BD">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投标人在广东省政府采购网完成政府采购代理机构的网上登记备案。</w:t>
      </w:r>
    </w:p>
    <w:p w14:paraId="1F86BBB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五、</w:t>
      </w:r>
      <w:r>
        <w:rPr>
          <w:rFonts w:hint="eastAsia" w:ascii="仿宋_GB2312" w:hAnsi="宋体" w:eastAsia="仿宋_GB2312" w:cs="Tahoma"/>
          <w:b/>
          <w:bCs/>
          <w:color w:val="auto"/>
          <w:kern w:val="0"/>
          <w:sz w:val="32"/>
          <w:szCs w:val="32"/>
          <w:highlight w:val="none"/>
          <w:lang w:eastAsia="zh-CN"/>
        </w:rPr>
        <w:t>需提交资料文件：</w:t>
      </w:r>
    </w:p>
    <w:p w14:paraId="5D6075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投标申请人声明（附件1）</w:t>
      </w:r>
      <w:r>
        <w:rPr>
          <w:rFonts w:hint="eastAsia" w:ascii="仿宋_GB2312" w:hAnsi="仿宋_GB2312" w:eastAsia="仿宋_GB2312" w:cs="仿宋_GB2312"/>
          <w:i w:val="0"/>
          <w:iCs w:val="0"/>
          <w:caps w:val="0"/>
          <w:color w:val="auto"/>
          <w:spacing w:val="0"/>
          <w:sz w:val="32"/>
          <w:szCs w:val="32"/>
          <w:shd w:val="clear" w:fill="FFFFFF"/>
          <w:lang w:eastAsia="zh-CN"/>
        </w:rPr>
        <w:t>；</w:t>
      </w:r>
    </w:p>
    <w:p w14:paraId="30742C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招标代理服务报价函（附件2）</w:t>
      </w:r>
      <w:r>
        <w:rPr>
          <w:rFonts w:hint="eastAsia" w:ascii="仿宋_GB2312" w:hAnsi="仿宋_GB2312" w:eastAsia="仿宋_GB2312" w:cs="仿宋_GB2312"/>
          <w:i w:val="0"/>
          <w:iCs w:val="0"/>
          <w:caps w:val="0"/>
          <w:color w:val="auto"/>
          <w:spacing w:val="0"/>
          <w:sz w:val="32"/>
          <w:szCs w:val="32"/>
          <w:shd w:val="clear" w:fill="FFFFFF"/>
          <w:lang w:eastAsia="zh-CN"/>
        </w:rPr>
        <w:t>；</w:t>
      </w:r>
    </w:p>
    <w:p w14:paraId="4AE709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营业执照副本；</w:t>
      </w:r>
    </w:p>
    <w:p w14:paraId="3264DB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法定代表人授权委托书及委托代理人身份证；</w:t>
      </w:r>
    </w:p>
    <w:p w14:paraId="58B18C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“信用中国”</w:t>
      </w:r>
      <w:r>
        <w:rPr>
          <w:rFonts w:hint="eastAsia" w:ascii="仿宋_GB2312" w:hAnsi="仿宋_GB2312" w:eastAsia="仿宋_GB2312" w:cs="仿宋_GB2312"/>
          <w:i w:val="0"/>
          <w:iCs w:val="0"/>
          <w:caps w:val="0"/>
          <w:color w:val="auto"/>
          <w:spacing w:val="0"/>
          <w:sz w:val="32"/>
          <w:szCs w:val="32"/>
          <w:shd w:val="clear" w:fill="FFFFFF"/>
          <w:lang w:eastAsia="zh-CN"/>
        </w:rPr>
        <w:t>信用情况</w:t>
      </w:r>
      <w:r>
        <w:rPr>
          <w:rFonts w:hint="eastAsia" w:ascii="仿宋_GB2312" w:hAnsi="仿宋_GB2312" w:eastAsia="仿宋_GB2312" w:cs="仿宋_GB2312"/>
          <w:i w:val="0"/>
          <w:iCs w:val="0"/>
          <w:caps w:val="0"/>
          <w:color w:val="auto"/>
          <w:spacing w:val="0"/>
          <w:sz w:val="32"/>
          <w:szCs w:val="32"/>
          <w:shd w:val="clear" w:fill="FFFFFF"/>
        </w:rPr>
        <w:t>（提供网页截图</w:t>
      </w:r>
      <w:r>
        <w:rPr>
          <w:rFonts w:hint="eastAsia" w:ascii="仿宋_GB2312" w:hAnsi="仿宋_GB2312" w:eastAsia="仿宋_GB2312" w:cs="仿宋_GB2312"/>
          <w:i w:val="0"/>
          <w:iCs w:val="0"/>
          <w:caps w:val="0"/>
          <w:color w:val="auto"/>
          <w:spacing w:val="0"/>
          <w:sz w:val="32"/>
          <w:szCs w:val="32"/>
          <w:shd w:val="clear" w:fill="FFFFFF"/>
          <w:lang w:eastAsia="zh-CN"/>
        </w:rPr>
        <w:t>）；</w:t>
      </w:r>
    </w:p>
    <w:p w14:paraId="3AAA25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lang w:eastAsia="zh-CN"/>
        </w:rPr>
        <w:t>不处于“中国政府采购网”中“政府采购严重违法失信行为信息记录”</w:t>
      </w:r>
      <w:r>
        <w:rPr>
          <w:rFonts w:hint="eastAsia" w:ascii="仿宋_GB2312" w:hAnsi="仿宋_GB2312" w:eastAsia="仿宋_GB2312" w:cs="仿宋_GB2312"/>
          <w:i w:val="0"/>
          <w:iCs w:val="0"/>
          <w:caps w:val="0"/>
          <w:color w:val="auto"/>
          <w:spacing w:val="0"/>
          <w:sz w:val="32"/>
          <w:szCs w:val="32"/>
          <w:shd w:val="clear" w:fill="FFFFFF"/>
        </w:rPr>
        <w:t>（提供网页截图</w:t>
      </w:r>
      <w:r>
        <w:rPr>
          <w:rFonts w:hint="eastAsia" w:ascii="仿宋_GB2312" w:hAnsi="仿宋_GB2312" w:eastAsia="仿宋_GB2312" w:cs="仿宋_GB2312"/>
          <w:i w:val="0"/>
          <w:iCs w:val="0"/>
          <w:caps w:val="0"/>
          <w:color w:val="auto"/>
          <w:spacing w:val="0"/>
          <w:sz w:val="32"/>
          <w:szCs w:val="32"/>
          <w:shd w:val="clear" w:fill="FFFFFF"/>
          <w:lang w:eastAsia="zh-CN"/>
        </w:rPr>
        <w:t>）；</w:t>
      </w:r>
    </w:p>
    <w:p w14:paraId="0DE769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广东省政府采购网登记备案</w:t>
      </w:r>
      <w:r>
        <w:rPr>
          <w:rFonts w:hint="eastAsia" w:ascii="仿宋_GB2312" w:hAnsi="仿宋_GB2312" w:eastAsia="仿宋_GB2312" w:cs="仿宋_GB2312"/>
          <w:i w:val="0"/>
          <w:iCs w:val="0"/>
          <w:caps w:val="0"/>
          <w:color w:val="auto"/>
          <w:spacing w:val="0"/>
          <w:sz w:val="32"/>
          <w:szCs w:val="32"/>
          <w:shd w:val="clear" w:fill="FFFFFF"/>
          <w:lang w:eastAsia="zh-CN"/>
        </w:rPr>
        <w:t>情况</w:t>
      </w:r>
      <w:r>
        <w:rPr>
          <w:rFonts w:hint="eastAsia" w:ascii="仿宋_GB2312" w:hAnsi="仿宋_GB2312" w:eastAsia="仿宋_GB2312" w:cs="仿宋_GB2312"/>
          <w:i w:val="0"/>
          <w:iCs w:val="0"/>
          <w:caps w:val="0"/>
          <w:color w:val="auto"/>
          <w:spacing w:val="0"/>
          <w:sz w:val="32"/>
          <w:szCs w:val="32"/>
          <w:shd w:val="clear" w:fill="FFFFFF"/>
        </w:rPr>
        <w:t>（提供网页截图</w:t>
      </w:r>
      <w:r>
        <w:rPr>
          <w:rFonts w:hint="eastAsia" w:ascii="仿宋_GB2312" w:hAnsi="仿宋_GB2312" w:eastAsia="仿宋_GB2312" w:cs="仿宋_GB2312"/>
          <w:i w:val="0"/>
          <w:iCs w:val="0"/>
          <w:caps w:val="0"/>
          <w:color w:val="auto"/>
          <w:spacing w:val="0"/>
          <w:sz w:val="32"/>
          <w:szCs w:val="32"/>
          <w:shd w:val="clear" w:fill="FFFFFF"/>
          <w:lang w:eastAsia="zh-CN"/>
        </w:rPr>
        <w:t>）；</w:t>
      </w:r>
    </w:p>
    <w:p w14:paraId="68F33E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lang w:eastAsia="zh-CN"/>
        </w:rPr>
        <w:t>企业情况介绍及服务方案（如有）。</w:t>
      </w:r>
    </w:p>
    <w:p w14:paraId="279C22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以上投标文件正本一式一份，电子版1份，须加盖企业公章，并按上述顺序自编目录装订。</w:t>
      </w:r>
    </w:p>
    <w:p w14:paraId="2CE2C01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六、遴选方式</w:t>
      </w:r>
    </w:p>
    <w:p w14:paraId="76AC8F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报名单位不足3家时，则终止遴选流程，重新公布遴选公告。报名单位达3家以上（含3家）时，采取择优录取方式，对在报名截止时间前收到的合格报名资料进行评定择优选择1家承担单位。</w:t>
      </w:r>
    </w:p>
    <w:p w14:paraId="715B959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七、参选单位递交资料时间、地点及业主联系方式：</w:t>
      </w:r>
    </w:p>
    <w:p w14:paraId="22D366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　　1</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递交时间：</w:t>
      </w:r>
      <w:r>
        <w:rPr>
          <w:rFonts w:hint="eastAsia" w:ascii="仿宋_GB2312" w:hAnsi="仿宋_GB2312" w:eastAsia="仿宋_GB2312" w:cs="仿宋_GB2312"/>
          <w:i w:val="0"/>
          <w:iCs w:val="0"/>
          <w:caps w:val="0"/>
          <w:color w:val="auto"/>
          <w:spacing w:val="0"/>
          <w:sz w:val="32"/>
          <w:szCs w:val="32"/>
          <w:shd w:val="clear" w:fill="FFFFFF"/>
          <w:lang w:val="en-US" w:eastAsia="zh-CN"/>
        </w:rPr>
        <w:t>2025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日</w:t>
      </w:r>
      <w:r>
        <w:rPr>
          <w:rFonts w:hint="eastAsia" w:ascii="仿宋_GB2312" w:hAnsi="仿宋_GB2312" w:eastAsia="仿宋_GB2312" w:cs="仿宋_GB2312"/>
          <w:i w:val="0"/>
          <w:iCs w:val="0"/>
          <w:caps w:val="0"/>
          <w:color w:val="auto"/>
          <w:spacing w:val="0"/>
          <w:sz w:val="32"/>
          <w:szCs w:val="32"/>
          <w:shd w:val="clear" w:fill="FFFFFF"/>
          <w:lang w:val="en-US" w:eastAsia="zh-CN"/>
        </w:rPr>
        <w:t>至2025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日，工作日</w:t>
      </w:r>
      <w:r>
        <w:rPr>
          <w:rFonts w:hint="eastAsia" w:ascii="仿宋_GB2312" w:hAnsi="仿宋_GB2312" w:eastAsia="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0至12:00，1</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0</w:t>
      </w:r>
      <w:r>
        <w:rPr>
          <w:rFonts w:hint="eastAsia" w:ascii="仿宋_GB2312" w:hAnsi="仿宋_GB2312" w:eastAsia="仿宋_GB2312" w:cs="仿宋_GB2312"/>
          <w:i w:val="0"/>
          <w:iCs w:val="0"/>
          <w:caps w:val="0"/>
          <w:color w:val="auto"/>
          <w:spacing w:val="0"/>
          <w:sz w:val="32"/>
          <w:szCs w:val="32"/>
          <w:shd w:val="clear" w:fill="FFFFFF"/>
        </w:rPr>
        <w:t>0至17:30</w:t>
      </w:r>
      <w:r>
        <w:rPr>
          <w:rFonts w:hint="eastAsia" w:ascii="仿宋_GB2312" w:hAnsi="仿宋_GB2312" w:eastAsia="仿宋_GB2312" w:cs="仿宋_GB2312"/>
          <w:i w:val="0"/>
          <w:iCs w:val="0"/>
          <w:caps w:val="0"/>
          <w:color w:val="auto"/>
          <w:spacing w:val="0"/>
          <w:sz w:val="32"/>
          <w:szCs w:val="32"/>
          <w:shd w:val="clear" w:fill="FFFFFF"/>
          <w:lang w:eastAsia="zh-CN"/>
        </w:rPr>
        <w:t>。</w:t>
      </w:r>
    </w:p>
    <w:p w14:paraId="3AAC4B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　　2</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递交地点：</w:t>
      </w:r>
      <w:r>
        <w:rPr>
          <w:rFonts w:hint="eastAsia" w:ascii="仿宋_GB2312" w:hAnsi="仿宋_GB2312" w:eastAsia="仿宋_GB2312" w:cs="仿宋_GB2312"/>
          <w:i w:val="0"/>
          <w:iCs w:val="0"/>
          <w:caps w:val="0"/>
          <w:color w:val="auto"/>
          <w:spacing w:val="0"/>
          <w:sz w:val="32"/>
          <w:szCs w:val="32"/>
          <w:shd w:val="clear" w:fill="FFFFFF"/>
          <w:lang w:val="en-US" w:eastAsia="zh-CN"/>
        </w:rPr>
        <w:t>廉江市体育中心三楼社会文艺和体育股。</w:t>
      </w:r>
    </w:p>
    <w:p w14:paraId="2E278B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　　3</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联系人：</w:t>
      </w:r>
      <w:r>
        <w:rPr>
          <w:rFonts w:hint="eastAsia" w:ascii="仿宋_GB2312" w:hAnsi="仿宋_GB2312" w:eastAsia="仿宋_GB2312" w:cs="仿宋_GB2312"/>
          <w:i w:val="0"/>
          <w:iCs w:val="0"/>
          <w:caps w:val="0"/>
          <w:color w:val="auto"/>
          <w:spacing w:val="0"/>
          <w:sz w:val="32"/>
          <w:szCs w:val="32"/>
          <w:shd w:val="clear" w:fill="FFFFFF"/>
          <w:lang w:val="en-US" w:eastAsia="zh-CN"/>
        </w:rPr>
        <w:t>郑先生，</w:t>
      </w:r>
      <w:r>
        <w:rPr>
          <w:rFonts w:hint="eastAsia" w:ascii="仿宋_GB2312" w:hAnsi="仿宋_GB2312" w:eastAsia="仿宋_GB2312" w:cs="仿宋_GB2312"/>
          <w:i w:val="0"/>
          <w:iCs w:val="0"/>
          <w:caps w:val="0"/>
          <w:color w:val="auto"/>
          <w:spacing w:val="0"/>
          <w:sz w:val="32"/>
          <w:szCs w:val="32"/>
          <w:shd w:val="clear" w:fill="FFFFFF"/>
        </w:rPr>
        <w:t>联系方式：</w:t>
      </w:r>
      <w:r>
        <w:rPr>
          <w:rFonts w:hint="eastAsia" w:ascii="仿宋_GB2312" w:hAnsi="仿宋_GB2312" w:eastAsia="仿宋_GB2312" w:cs="仿宋_GB2312"/>
          <w:i w:val="0"/>
          <w:iCs w:val="0"/>
          <w:caps w:val="0"/>
          <w:color w:val="auto"/>
          <w:spacing w:val="0"/>
          <w:sz w:val="32"/>
          <w:szCs w:val="32"/>
          <w:shd w:val="clear" w:fill="FFFFFF"/>
          <w:lang w:val="en-US" w:eastAsia="zh-CN"/>
        </w:rPr>
        <w:t>18820629262。</w:t>
      </w:r>
    </w:p>
    <w:p w14:paraId="10FFBDB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14:paraId="75368B1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14:paraId="18109B3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14:paraId="56639164">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廉江市文化广电旅游体育局</w:t>
      </w:r>
    </w:p>
    <w:p w14:paraId="42DDD900">
      <w:pPr>
        <w:keepNext w:val="0"/>
        <w:keepLines w:val="0"/>
        <w:pageBreakBefore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2025年1月3日    </w:t>
      </w:r>
    </w:p>
    <w:p w14:paraId="63064326">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3C45296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宋体" w:eastAsia="仿宋_GB2312" w:cs="Tahoma"/>
          <w:b/>
          <w:bCs/>
          <w:color w:val="auto"/>
          <w:kern w:val="0"/>
          <w:sz w:val="32"/>
          <w:szCs w:val="32"/>
          <w:highlight w:val="none"/>
          <w:lang w:val="en-US" w:eastAsia="zh-CN"/>
        </w:rPr>
      </w:pPr>
      <w:r>
        <w:rPr>
          <w:rFonts w:hint="eastAsia" w:ascii="仿宋_GB2312" w:hAnsi="宋体" w:eastAsia="仿宋_GB2312" w:cs="Tahoma"/>
          <w:b/>
          <w:bCs/>
          <w:color w:val="auto"/>
          <w:kern w:val="0"/>
          <w:sz w:val="32"/>
          <w:szCs w:val="32"/>
          <w:highlight w:val="none"/>
          <w:lang w:val="en-US" w:eastAsia="zh-CN"/>
        </w:rPr>
        <w:t>附件1：</w:t>
      </w:r>
    </w:p>
    <w:p w14:paraId="225997FA">
      <w:pPr>
        <w:widowControl/>
        <w:shd w:val="clear" w:color="auto" w:fill="auto"/>
        <w:snapToGrid w:val="0"/>
        <w:spacing w:line="600" w:lineRule="exact"/>
        <w:ind w:left="2880" w:hanging="2530" w:hangingChars="900"/>
        <w:jc w:val="center"/>
        <w:rPr>
          <w:rFonts w:hint="eastAsia" w:ascii="仿宋_GB2312" w:hAnsi="宋体" w:eastAsia="仿宋_GB2312" w:cs="Tahoma"/>
          <w:b/>
          <w:bCs/>
          <w:color w:val="auto"/>
          <w:kern w:val="0"/>
          <w:sz w:val="28"/>
          <w:szCs w:val="28"/>
        </w:rPr>
      </w:pPr>
      <w:r>
        <w:rPr>
          <w:rFonts w:hint="eastAsia" w:ascii="仿宋_GB2312" w:hAnsi="宋体" w:eastAsia="仿宋_GB2312" w:cs="Tahoma"/>
          <w:b/>
          <w:bCs/>
          <w:color w:val="auto"/>
          <w:kern w:val="0"/>
          <w:sz w:val="28"/>
          <w:szCs w:val="28"/>
        </w:rPr>
        <w:t>投标申请人声明</w:t>
      </w:r>
    </w:p>
    <w:p w14:paraId="1704BF58">
      <w:pPr>
        <w:pStyle w:val="10"/>
        <w:spacing w:line="560" w:lineRule="exact"/>
        <w:ind w:firstLine="0"/>
        <w:rPr>
          <w:rFonts w:hint="eastAsia" w:ascii="仿宋_GB2312" w:hAnsi="宋体" w:eastAsia="仿宋_GB2312" w:cs="Tahoma"/>
          <w:b w:val="0"/>
          <w:bCs w:val="0"/>
          <w:color w:val="auto"/>
          <w:kern w:val="0"/>
          <w:sz w:val="24"/>
          <w:szCs w:val="24"/>
          <w:lang w:val="en-US" w:eastAsia="zh-CN" w:bidi="ar-SA"/>
        </w:rPr>
      </w:pPr>
      <w:r>
        <w:rPr>
          <w:rFonts w:hint="eastAsia" w:ascii="仿宋_GB2312" w:hAnsi="宋体" w:eastAsia="仿宋_GB2312" w:cs="Tahoma"/>
          <w:b w:val="0"/>
          <w:bCs w:val="0"/>
          <w:color w:val="auto"/>
          <w:kern w:val="0"/>
          <w:sz w:val="24"/>
          <w:szCs w:val="24"/>
          <w:lang w:val="en-US" w:eastAsia="zh-CN" w:bidi="ar-SA"/>
        </w:rPr>
        <w:t>廉江市文化广电旅游体育局：</w:t>
      </w:r>
    </w:p>
    <w:p w14:paraId="7DDAA037">
      <w:pPr>
        <w:pStyle w:val="6"/>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w:t>
      </w:r>
      <w:r>
        <w:rPr>
          <w:rFonts w:hint="eastAsia" w:ascii="仿宋_GB2312" w:hAnsi="仿宋_GB2312" w:eastAsia="仿宋_GB2312" w:cs="仿宋_GB2312"/>
          <w:color w:val="auto"/>
          <w:sz w:val="24"/>
          <w:szCs w:val="24"/>
          <w:lang w:eastAsia="zh-CN"/>
        </w:rPr>
        <w:t>贵局</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bCs/>
          <w:color w:val="auto"/>
          <w:sz w:val="24"/>
          <w:szCs w:val="24"/>
          <w:u w:val="single"/>
          <w:shd w:val="clear" w:color="auto" w:fill="FFFFFF"/>
        </w:rPr>
        <w:t xml:space="preserve">  </w:t>
      </w:r>
      <w:r>
        <w:rPr>
          <w:rFonts w:hint="eastAsia" w:ascii="仿宋_GB2312" w:hAnsi="仿宋_GB2312" w:eastAsia="仿宋_GB2312" w:cs="仿宋_GB2312"/>
          <w:color w:val="auto"/>
          <w:sz w:val="24"/>
          <w:szCs w:val="24"/>
        </w:rPr>
        <w:t>”采购</w:t>
      </w:r>
      <w:r>
        <w:rPr>
          <w:rFonts w:hint="eastAsia" w:ascii="仿宋_GB2312" w:hAnsi="仿宋_GB2312" w:eastAsia="仿宋_GB2312" w:cs="仿宋_GB2312"/>
          <w:color w:val="auto"/>
          <w:sz w:val="24"/>
          <w:szCs w:val="24"/>
          <w:lang w:eastAsia="zh-CN"/>
        </w:rPr>
        <w:t>报价邀请</w:t>
      </w:r>
      <w:r>
        <w:rPr>
          <w:rFonts w:hint="eastAsia" w:ascii="仿宋_GB2312" w:hAnsi="仿宋_GB2312" w:eastAsia="仿宋_GB2312" w:cs="仿宋_GB2312"/>
          <w:color w:val="auto"/>
          <w:sz w:val="24"/>
          <w:szCs w:val="24"/>
        </w:rPr>
        <w:t>，我方愿意参加投标，并声明截至开标日：</w:t>
      </w:r>
    </w:p>
    <w:p w14:paraId="1C77F696">
      <w:pPr>
        <w:pStyle w:val="6"/>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1.我方具备《中华人民共和国政府采购法》第二十二条所规定的条件，并已清楚招标文件的要求及有关文件规定。</w:t>
      </w:r>
    </w:p>
    <w:p w14:paraId="647A1572">
      <w:pPr>
        <w:pStyle w:val="6"/>
        <w:numPr>
          <w:ilvl w:val="0"/>
          <w:numId w:val="2"/>
        </w:numPr>
        <w:spacing w:line="360" w:lineRule="auto"/>
        <w:ind w:left="425" w:leftChars="0" w:firstLine="215"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具有独立承担民事责任的能力；</w:t>
      </w:r>
    </w:p>
    <w:p w14:paraId="032B7B83">
      <w:pPr>
        <w:pStyle w:val="6"/>
        <w:numPr>
          <w:ilvl w:val="0"/>
          <w:numId w:val="2"/>
        </w:numPr>
        <w:spacing w:line="360" w:lineRule="auto"/>
        <w:ind w:left="425" w:leftChars="0" w:firstLine="215"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具有良好的商业信誉和健全的财务会计制度；</w:t>
      </w:r>
    </w:p>
    <w:p w14:paraId="0FF0B006">
      <w:pPr>
        <w:pStyle w:val="6"/>
        <w:numPr>
          <w:ilvl w:val="0"/>
          <w:numId w:val="2"/>
        </w:numPr>
        <w:spacing w:line="360" w:lineRule="auto"/>
        <w:ind w:left="425" w:leftChars="0" w:firstLine="215"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具有履行合同所必需的设备和专业技术能力；</w:t>
      </w:r>
    </w:p>
    <w:p w14:paraId="2B2E3C06">
      <w:pPr>
        <w:pStyle w:val="6"/>
        <w:numPr>
          <w:ilvl w:val="0"/>
          <w:numId w:val="2"/>
        </w:numPr>
        <w:spacing w:line="360" w:lineRule="auto"/>
        <w:ind w:left="425" w:leftChars="0" w:firstLine="215"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有依法缴纳税收和社会保障资金的良好记录；</w:t>
      </w:r>
    </w:p>
    <w:p w14:paraId="71F05B14">
      <w:pPr>
        <w:pStyle w:val="6"/>
        <w:numPr>
          <w:ilvl w:val="0"/>
          <w:numId w:val="2"/>
        </w:numPr>
        <w:spacing w:line="360" w:lineRule="auto"/>
        <w:ind w:left="425" w:leftChars="0" w:firstLine="215"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参加政府采购活动前三年内，在经营活动中没有重大违法记录；</w:t>
      </w:r>
    </w:p>
    <w:p w14:paraId="2970CAD0">
      <w:pPr>
        <w:pStyle w:val="6"/>
        <w:numPr>
          <w:ilvl w:val="0"/>
          <w:numId w:val="2"/>
        </w:numPr>
        <w:spacing w:line="360" w:lineRule="auto"/>
        <w:ind w:left="425" w:leftChars="0" w:firstLine="215"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法律、行政法规规定的其他条件。</w:t>
      </w:r>
    </w:p>
    <w:p w14:paraId="667C1A5C">
      <w:pPr>
        <w:pStyle w:val="6"/>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本公司（企业）的单位负责人与所参投的本采购项目的其他投标人的单位负责人不为同一人且与其他投标人之间不存在直接控股、管理关系。</w:t>
      </w:r>
    </w:p>
    <w:p w14:paraId="11C8A235">
      <w:pPr>
        <w:pStyle w:val="6"/>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根据《中华人民共和国政府采购法实施条例》的规定，本公司（企业）如为本项目提供整体设计、规范编制或者项目管理、监理、检测等服务的投标人，不得再参加该采购项目的其他采购活动。否则，由此所造成的损失、不良后果及法律责任，一律由我公司（企业）承担。</w:t>
      </w:r>
    </w:p>
    <w:p w14:paraId="3CA3CB4D">
      <w:pPr>
        <w:pStyle w:val="6"/>
        <w:spacing w:line="360" w:lineRule="auto"/>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本次招标采购活动中，如有违法、违规、弄虚作假行为，所造成的损失、不良后果及法律责任，一律由我方承担。</w:t>
      </w:r>
    </w:p>
    <w:p w14:paraId="3C3D7DA7">
      <w:pPr>
        <w:widowControl/>
        <w:spacing w:line="360" w:lineRule="auto"/>
        <w:ind w:firstLine="723" w:firstLineChars="3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特此声明！</w:t>
      </w:r>
    </w:p>
    <w:p w14:paraId="6F84894C">
      <w:pPr>
        <w:rPr>
          <w:rFonts w:hint="eastAsia"/>
          <w:color w:val="auto"/>
          <w:sz w:val="24"/>
          <w:szCs w:val="24"/>
        </w:rPr>
      </w:pPr>
    </w:p>
    <w:p w14:paraId="38A11A3A">
      <w:pPr>
        <w:rPr>
          <w:rFonts w:hint="eastAsia"/>
          <w:color w:val="auto"/>
          <w:sz w:val="24"/>
          <w:szCs w:val="24"/>
        </w:rPr>
      </w:pPr>
    </w:p>
    <w:p w14:paraId="000E297C">
      <w:pPr>
        <w:spacing w:line="360" w:lineRule="auto"/>
        <w:ind w:firstLine="3120" w:firstLineChars="13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投标人全称（盖公章）：</w:t>
      </w:r>
    </w:p>
    <w:p w14:paraId="2BC10074">
      <w:pPr>
        <w:spacing w:line="360" w:lineRule="auto"/>
        <w:ind w:firstLine="3120" w:firstLineChars="13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w:t>
      </w:r>
    </w:p>
    <w:p w14:paraId="5A320FB3">
      <w:pPr>
        <w:spacing w:line="360" w:lineRule="auto"/>
        <w:ind w:firstLine="3120" w:firstLineChars="13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投标授权代表（签字或签章）：</w:t>
      </w:r>
    </w:p>
    <w:p w14:paraId="24DB61E5">
      <w:pPr>
        <w:spacing w:line="360" w:lineRule="auto"/>
        <w:ind w:firstLine="720" w:firstLineChars="3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    期：     年   月   日</w:t>
      </w:r>
    </w:p>
    <w:p w14:paraId="536B7FC3">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14:paraId="10CE945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宋体" w:eastAsia="仿宋_GB2312" w:cs="Tahoma"/>
          <w:b/>
          <w:bCs/>
          <w:color w:val="auto"/>
          <w:kern w:val="0"/>
          <w:sz w:val="32"/>
          <w:szCs w:val="32"/>
          <w:highlight w:val="none"/>
          <w:lang w:val="en-US" w:eastAsia="zh-CN"/>
        </w:rPr>
      </w:pPr>
      <w:r>
        <w:rPr>
          <w:rFonts w:hint="eastAsia" w:ascii="仿宋_GB2312" w:hAnsi="宋体" w:eastAsia="仿宋_GB2312" w:cs="Tahoma"/>
          <w:b/>
          <w:bCs/>
          <w:color w:val="auto"/>
          <w:kern w:val="0"/>
          <w:sz w:val="32"/>
          <w:szCs w:val="32"/>
          <w:highlight w:val="none"/>
          <w:lang w:val="en-US" w:eastAsia="zh-CN"/>
        </w:rPr>
        <w:t>附件2：</w:t>
      </w:r>
    </w:p>
    <w:p w14:paraId="19E1CD0C">
      <w:pPr>
        <w:widowControl/>
        <w:shd w:val="clear" w:color="auto" w:fill="auto"/>
        <w:snapToGrid w:val="0"/>
        <w:spacing w:line="600" w:lineRule="exact"/>
        <w:ind w:left="2880" w:hanging="2530" w:hangingChars="900"/>
        <w:jc w:val="center"/>
        <w:rPr>
          <w:rFonts w:hint="eastAsia" w:ascii="仿宋_GB2312" w:hAnsi="宋体" w:eastAsia="仿宋_GB2312" w:cs="Tahoma"/>
          <w:b/>
          <w:bCs/>
          <w:color w:val="auto"/>
          <w:kern w:val="0"/>
          <w:sz w:val="28"/>
          <w:szCs w:val="28"/>
          <w:lang w:val="en-US" w:eastAsia="zh-CN"/>
        </w:rPr>
      </w:pPr>
      <w:r>
        <w:rPr>
          <w:rFonts w:hint="eastAsia" w:ascii="仿宋_GB2312" w:hAnsi="宋体" w:eastAsia="仿宋_GB2312" w:cs="Tahoma"/>
          <w:b/>
          <w:bCs/>
          <w:color w:val="auto"/>
          <w:kern w:val="0"/>
          <w:sz w:val="28"/>
          <w:szCs w:val="28"/>
          <w:lang w:val="en-US" w:eastAsia="zh-CN"/>
        </w:rPr>
        <w:t>招标代理服务报价函</w:t>
      </w:r>
    </w:p>
    <w:p w14:paraId="4BB3B3F6">
      <w:pPr>
        <w:spacing w:line="360" w:lineRule="auto"/>
        <w:rPr>
          <w:rFonts w:hint="eastAsia"/>
          <w:sz w:val="24"/>
          <w:szCs w:val="24"/>
          <w:lang w:eastAsia="zh-CN"/>
        </w:rPr>
      </w:pPr>
    </w:p>
    <w:p w14:paraId="0FB051B6">
      <w:pPr>
        <w:spacing w:line="360" w:lineRule="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致：廉江市文化广电旅游体育局</w:t>
      </w:r>
    </w:p>
    <w:p w14:paraId="6D22DAD1">
      <w:pPr>
        <w:spacing w:line="360" w:lineRule="auto"/>
        <w:rPr>
          <w:rFonts w:hint="eastAsia" w:ascii="仿宋_GB2312" w:hAnsi="仿宋_GB2312" w:eastAsia="仿宋_GB2312" w:cs="仿宋_GB2312"/>
          <w:color w:val="auto"/>
          <w:kern w:val="2"/>
          <w:sz w:val="24"/>
          <w:szCs w:val="24"/>
          <w:lang w:val="en-US" w:eastAsia="zh-CN" w:bidi="ar-SA"/>
        </w:rPr>
      </w:pPr>
    </w:p>
    <w:p w14:paraId="598A1439">
      <w:pPr>
        <w:spacing w:line="360" w:lineRule="auto"/>
        <w:ind w:firstLine="480" w:firstLineChars="20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我司已收到贵局发来的有关资料，并已详细认真了解项目相关信息，完全清楚理解其内容，均没有任何异议、质疑和误解之处。我司接受贵局邀请，参与</w:t>
      </w:r>
      <w:r>
        <w:rPr>
          <w:rFonts w:hint="eastAsia" w:ascii="仿宋_GB2312" w:hAnsi="仿宋_GB2312" w:eastAsia="仿宋_GB2312" w:cs="仿宋_GB2312"/>
          <w:color w:val="auto"/>
          <w:kern w:val="2"/>
          <w:sz w:val="24"/>
          <w:szCs w:val="24"/>
          <w:u w:val="single"/>
          <w:lang w:val="en-US" w:eastAsia="zh-CN" w:bidi="ar-SA"/>
        </w:rPr>
        <w:t xml:space="preserve">              </w:t>
      </w:r>
      <w:r>
        <w:rPr>
          <w:rFonts w:hint="eastAsia" w:ascii="仿宋_GB2312" w:hAnsi="仿宋_GB2312" w:eastAsia="仿宋_GB2312" w:cs="仿宋_GB2312"/>
          <w:color w:val="auto"/>
          <w:kern w:val="2"/>
          <w:sz w:val="24"/>
          <w:szCs w:val="24"/>
          <w:lang w:val="en-US" w:eastAsia="zh-CN" w:bidi="ar-SA"/>
        </w:rPr>
        <w:t>项目招标代理服务工作的报价。</w:t>
      </w:r>
    </w:p>
    <w:p w14:paraId="76970421">
      <w:pPr>
        <w:spacing w:line="360" w:lineRule="auto"/>
        <w:ind w:firstLine="480" w:firstLineChars="2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我司招标代理服务费收费按《关于印发招标代理服务收费管理暂行办法的通知》(计价格 [2002]1980 号)“服务类”标准下浮</w:t>
      </w:r>
      <w:r>
        <w:rPr>
          <w:rFonts w:hint="eastAsia" w:ascii="仿宋_GB2312" w:hAnsi="仿宋_GB2312" w:eastAsia="仿宋_GB2312" w:cs="仿宋_GB2312"/>
          <w:color w:val="auto"/>
          <w:kern w:val="2"/>
          <w:sz w:val="24"/>
          <w:szCs w:val="24"/>
          <w:u w:val="single"/>
          <w:lang w:val="en-US" w:eastAsia="zh-CN" w:bidi="ar-SA"/>
        </w:rPr>
        <w:t xml:space="preserve">    </w:t>
      </w:r>
      <w:r>
        <w:rPr>
          <w:rFonts w:hint="eastAsia" w:ascii="仿宋_GB2312" w:hAnsi="仿宋_GB2312" w:eastAsia="仿宋_GB2312" w:cs="仿宋_GB2312"/>
          <w:color w:val="auto"/>
          <w:kern w:val="2"/>
          <w:sz w:val="24"/>
          <w:szCs w:val="24"/>
          <w:lang w:val="en-US" w:eastAsia="zh-CN" w:bidi="ar-SA"/>
        </w:rPr>
        <w:t>%，按差额定率累进法计算，以中标通知书中确定的中标金额作为收费的计算依据，由我司向中标人收取。服务类招标代理收费标准具体如下：</w:t>
      </w:r>
    </w:p>
    <w:tbl>
      <w:tblPr>
        <w:tblStyle w:val="8"/>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184"/>
        <w:gridCol w:w="2695"/>
      </w:tblGrid>
      <w:tr w14:paraId="7466FCA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3184" w:type="dxa"/>
            <w:tcBorders>
              <w:top w:val="single" w:color="000000" w:sz="4" w:space="0"/>
              <w:left w:val="single" w:color="000000" w:sz="4" w:space="0"/>
              <w:bottom w:val="single" w:color="000000" w:sz="4" w:space="0"/>
              <w:right w:val="single" w:color="000000" w:sz="4" w:space="0"/>
            </w:tcBorders>
            <w:noWrap w:val="0"/>
            <w:vAlign w:val="top"/>
          </w:tcPr>
          <w:p w14:paraId="79FCEBFB">
            <w:pPr>
              <w:widowControl/>
              <w:spacing w:before="100" w:beforeAutospacing="1" w:after="100" w:afterAutospacing="1" w:line="36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   中标金额（万元） </w:t>
            </w:r>
          </w:p>
        </w:tc>
        <w:tc>
          <w:tcPr>
            <w:tcW w:w="2695" w:type="dxa"/>
            <w:tcBorders>
              <w:top w:val="single" w:color="000000" w:sz="4" w:space="0"/>
              <w:left w:val="single" w:color="000000" w:sz="4" w:space="0"/>
              <w:bottom w:val="single" w:color="000000" w:sz="4" w:space="0"/>
              <w:right w:val="single" w:color="000000" w:sz="4" w:space="0"/>
            </w:tcBorders>
            <w:noWrap w:val="0"/>
            <w:vAlign w:val="center"/>
          </w:tcPr>
          <w:p w14:paraId="61196C5B">
            <w:pPr>
              <w:widowControl/>
              <w:spacing w:before="100" w:beforeAutospacing="1" w:after="100" w:afterAutospacing="1" w:line="36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服务类费率</w:t>
            </w:r>
          </w:p>
        </w:tc>
      </w:tr>
      <w:tr w14:paraId="56A031F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3184" w:type="dxa"/>
            <w:tcBorders>
              <w:top w:val="single" w:color="000000" w:sz="4" w:space="0"/>
              <w:left w:val="single" w:color="000000" w:sz="4" w:space="0"/>
              <w:bottom w:val="single" w:color="000000" w:sz="4" w:space="0"/>
              <w:right w:val="single" w:color="000000" w:sz="4" w:space="0"/>
            </w:tcBorders>
            <w:noWrap w:val="0"/>
            <w:vAlign w:val="center"/>
          </w:tcPr>
          <w:p w14:paraId="0D6F677C">
            <w:pPr>
              <w:widowControl/>
              <w:spacing w:before="100" w:beforeAutospacing="1" w:after="100" w:afterAutospacing="1" w:line="360"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100以下</w:t>
            </w:r>
          </w:p>
        </w:tc>
        <w:tc>
          <w:tcPr>
            <w:tcW w:w="2695" w:type="dxa"/>
            <w:tcBorders>
              <w:top w:val="single" w:color="000000" w:sz="4" w:space="0"/>
              <w:left w:val="single" w:color="000000" w:sz="4" w:space="0"/>
              <w:bottom w:val="single" w:color="000000" w:sz="4" w:space="0"/>
              <w:right w:val="single" w:color="000000" w:sz="4" w:space="0"/>
            </w:tcBorders>
            <w:noWrap w:val="0"/>
            <w:vAlign w:val="center"/>
          </w:tcPr>
          <w:p w14:paraId="7AEEEBED">
            <w:pPr>
              <w:widowControl/>
              <w:spacing w:before="100" w:beforeAutospacing="1" w:after="100" w:afterAutospacing="1" w:line="36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1.5％</w:t>
            </w:r>
          </w:p>
        </w:tc>
      </w:tr>
      <w:tr w14:paraId="1165AD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3184" w:type="dxa"/>
            <w:tcBorders>
              <w:top w:val="single" w:color="000000" w:sz="4" w:space="0"/>
              <w:left w:val="single" w:color="000000" w:sz="4" w:space="0"/>
              <w:bottom w:val="single" w:color="000000" w:sz="4" w:space="0"/>
              <w:right w:val="single" w:color="000000" w:sz="4" w:space="0"/>
            </w:tcBorders>
            <w:noWrap w:val="0"/>
            <w:vAlign w:val="center"/>
          </w:tcPr>
          <w:p w14:paraId="46F6B5C5">
            <w:pPr>
              <w:widowControl/>
              <w:spacing w:before="100" w:beforeAutospacing="1" w:after="100" w:afterAutospacing="1" w:line="360"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100—500</w:t>
            </w:r>
          </w:p>
        </w:tc>
        <w:tc>
          <w:tcPr>
            <w:tcW w:w="2695" w:type="dxa"/>
            <w:tcBorders>
              <w:top w:val="single" w:color="000000" w:sz="4" w:space="0"/>
              <w:left w:val="single" w:color="000000" w:sz="4" w:space="0"/>
              <w:bottom w:val="single" w:color="000000" w:sz="4" w:space="0"/>
              <w:right w:val="single" w:color="000000" w:sz="4" w:space="0"/>
            </w:tcBorders>
            <w:noWrap w:val="0"/>
            <w:vAlign w:val="center"/>
          </w:tcPr>
          <w:p w14:paraId="62C8B2CB">
            <w:pPr>
              <w:widowControl/>
              <w:spacing w:before="100" w:beforeAutospacing="1" w:after="100" w:afterAutospacing="1" w:line="36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0.8％</w:t>
            </w:r>
          </w:p>
        </w:tc>
      </w:tr>
      <w:tr w14:paraId="3546BD9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3184" w:type="dxa"/>
            <w:tcBorders>
              <w:top w:val="single" w:color="000000" w:sz="4" w:space="0"/>
              <w:left w:val="single" w:color="000000" w:sz="4" w:space="0"/>
              <w:bottom w:val="single" w:color="000000" w:sz="4" w:space="0"/>
              <w:right w:val="single" w:color="000000" w:sz="4" w:space="0"/>
            </w:tcBorders>
            <w:noWrap w:val="0"/>
            <w:vAlign w:val="center"/>
          </w:tcPr>
          <w:p w14:paraId="29FE5B21">
            <w:pPr>
              <w:widowControl/>
              <w:spacing w:before="100" w:beforeAutospacing="1" w:after="100" w:afterAutospacing="1" w:line="360" w:lineRule="auto"/>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500—1000</w:t>
            </w:r>
          </w:p>
        </w:tc>
        <w:tc>
          <w:tcPr>
            <w:tcW w:w="2695" w:type="dxa"/>
            <w:tcBorders>
              <w:top w:val="single" w:color="000000" w:sz="4" w:space="0"/>
              <w:left w:val="single" w:color="000000" w:sz="4" w:space="0"/>
              <w:bottom w:val="single" w:color="000000" w:sz="4" w:space="0"/>
              <w:right w:val="single" w:color="000000" w:sz="4" w:space="0"/>
            </w:tcBorders>
            <w:noWrap w:val="0"/>
            <w:vAlign w:val="center"/>
          </w:tcPr>
          <w:p w14:paraId="72178B22">
            <w:pPr>
              <w:widowControl/>
              <w:spacing w:before="100" w:beforeAutospacing="1" w:after="100" w:afterAutospacing="1" w:line="36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0.45％</w:t>
            </w:r>
          </w:p>
        </w:tc>
      </w:tr>
      <w:tr w14:paraId="329BCF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3184" w:type="dxa"/>
            <w:tcBorders>
              <w:top w:val="single" w:color="000000" w:sz="4" w:space="0"/>
              <w:left w:val="single" w:color="000000" w:sz="4" w:space="0"/>
              <w:bottom w:val="single" w:color="000000" w:sz="4" w:space="0"/>
              <w:right w:val="single" w:color="000000" w:sz="4" w:space="0"/>
            </w:tcBorders>
            <w:noWrap w:val="0"/>
            <w:vAlign w:val="center"/>
          </w:tcPr>
          <w:p w14:paraId="20839FD7">
            <w:pPr>
              <w:widowControl/>
              <w:spacing w:before="100" w:beforeAutospacing="1" w:after="100" w:afterAutospacing="1" w:line="360" w:lineRule="auto"/>
              <w:jc w:val="left"/>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1000-5000</w:t>
            </w:r>
          </w:p>
        </w:tc>
        <w:tc>
          <w:tcPr>
            <w:tcW w:w="2695" w:type="dxa"/>
            <w:tcBorders>
              <w:top w:val="single" w:color="000000" w:sz="4" w:space="0"/>
              <w:left w:val="single" w:color="000000" w:sz="4" w:space="0"/>
              <w:bottom w:val="single" w:color="000000" w:sz="4" w:space="0"/>
              <w:right w:val="single" w:color="000000" w:sz="4" w:space="0"/>
            </w:tcBorders>
            <w:noWrap w:val="0"/>
            <w:vAlign w:val="center"/>
          </w:tcPr>
          <w:p w14:paraId="2E0C4027">
            <w:pPr>
              <w:widowControl/>
              <w:spacing w:before="100" w:beforeAutospacing="1" w:after="100" w:afterAutospacing="1" w:line="360" w:lineRule="auto"/>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0.25%</w:t>
            </w:r>
          </w:p>
        </w:tc>
      </w:tr>
    </w:tbl>
    <w:p w14:paraId="0AC6BCFF">
      <w:pPr>
        <w:spacing w:line="360" w:lineRule="auto"/>
        <w:ind w:firstLine="480" w:firstLineChars="2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我司承诺为贵局提供专业的招标代理服务和咨询，按上述报价承担相关工作，并在规定的时间内完成相应工作，提交工作成果。</w:t>
      </w:r>
    </w:p>
    <w:p w14:paraId="1E316F89">
      <w:pPr>
        <w:spacing w:line="360" w:lineRule="auto"/>
        <w:ind w:firstLine="480" w:firstLineChars="200"/>
        <w:rPr>
          <w:rFonts w:hint="eastAsia" w:ascii="仿宋_GB2312" w:hAnsi="仿宋_GB2312" w:eastAsia="仿宋_GB2312" w:cs="仿宋_GB2312"/>
          <w:color w:val="auto"/>
          <w:kern w:val="2"/>
          <w:sz w:val="24"/>
          <w:szCs w:val="24"/>
          <w:lang w:val="en-US" w:eastAsia="zh-CN" w:bidi="ar-SA"/>
        </w:rPr>
      </w:pPr>
    </w:p>
    <w:p w14:paraId="25BD97F9">
      <w:pPr>
        <w:spacing w:line="360" w:lineRule="auto"/>
        <w:ind w:firstLine="480" w:firstLineChars="200"/>
        <w:rPr>
          <w:rFonts w:hint="eastAsia" w:ascii="仿宋_GB2312" w:hAnsi="仿宋_GB2312" w:eastAsia="仿宋_GB2312" w:cs="仿宋_GB2312"/>
          <w:color w:val="auto"/>
          <w:kern w:val="2"/>
          <w:sz w:val="24"/>
          <w:szCs w:val="24"/>
          <w:lang w:val="en-US" w:eastAsia="zh-CN" w:bidi="ar-SA"/>
        </w:rPr>
      </w:pPr>
    </w:p>
    <w:p w14:paraId="1DDF9998">
      <w:pPr>
        <w:spacing w:line="360" w:lineRule="auto"/>
        <w:ind w:left="0" w:leftChars="0" w:firstLine="2683" w:firstLineChars="1118"/>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报价公司名称：（盖章)</w:t>
      </w:r>
    </w:p>
    <w:p w14:paraId="6B77F76A">
      <w:pPr>
        <w:spacing w:line="360" w:lineRule="auto"/>
        <w:ind w:left="0" w:leftChars="0" w:firstLine="2683" w:firstLineChars="1118"/>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地址：</w:t>
      </w:r>
    </w:p>
    <w:p w14:paraId="11FEEEC4">
      <w:pPr>
        <w:spacing w:line="360" w:lineRule="auto"/>
        <w:ind w:left="0" w:leftChars="0" w:firstLine="2683" w:firstLineChars="1118"/>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联系人：</w:t>
      </w:r>
    </w:p>
    <w:p w14:paraId="5CF0604C">
      <w:pPr>
        <w:spacing w:line="360" w:lineRule="auto"/>
        <w:ind w:left="0" w:leftChars="0" w:firstLine="2683" w:firstLineChars="1118"/>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24"/>
          <w:szCs w:val="24"/>
          <w:lang w:val="en-US" w:eastAsia="zh-CN" w:bidi="ar-SA"/>
        </w:rPr>
        <w:t>联系电话：</w:t>
      </w:r>
      <w:r>
        <w:rPr>
          <w:rFonts w:hint="eastAsia" w:ascii="仿宋_GB2312" w:hAnsi="仿宋_GB2312" w:eastAsia="仿宋_GB2312" w:cs="仿宋_GB2312"/>
          <w:color w:val="auto"/>
          <w:sz w:val="32"/>
          <w:szCs w:val="32"/>
          <w:lang w:val="en-US" w:eastAsia="zh-CN"/>
        </w:rPr>
        <w:t xml:space="preserve"> </w:t>
      </w:r>
    </w:p>
    <w:p w14:paraId="3A7CCAE6">
      <w:pPr>
        <w:spacing w:line="360" w:lineRule="auto"/>
        <w:ind w:left="0" w:leftChars="0" w:firstLine="2683" w:firstLineChars="1118"/>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日期：</w:t>
      </w:r>
    </w:p>
    <w:p w14:paraId="3EECBBCE">
      <w:pPr>
        <w:spacing w:line="360" w:lineRule="auto"/>
        <w:ind w:left="0" w:leftChars="0" w:firstLine="3577" w:firstLineChars="1118"/>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14B90"/>
    <w:multiLevelType w:val="singleLevel"/>
    <w:tmpl w:val="BB614B90"/>
    <w:lvl w:ilvl="0" w:tentative="0">
      <w:start w:val="1"/>
      <w:numFmt w:val="decimal"/>
      <w:lvlText w:val="(%1)"/>
      <w:lvlJc w:val="left"/>
      <w:pPr>
        <w:ind w:left="425" w:hanging="425"/>
      </w:pPr>
      <w:rPr>
        <w:rFonts w:hint="default"/>
      </w:rPr>
    </w:lvl>
  </w:abstractNum>
  <w:abstractNum w:abstractNumId="1">
    <w:nsid w:val="3CB53791"/>
    <w:multiLevelType w:val="singleLevel"/>
    <w:tmpl w:val="3CB5379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WRhMmJkMDI4MGQ2YWZiNjM2MjEwYTZhY2U5MjEifQ=="/>
    <w:docVar w:name="KSO_WPS_MARK_KEY" w:val="0480d404-e43a-46c7-aeee-8ae78a54ad76"/>
  </w:docVars>
  <w:rsids>
    <w:rsidRoot w:val="00000000"/>
    <w:rsid w:val="00C5215C"/>
    <w:rsid w:val="01E7687A"/>
    <w:rsid w:val="029B032D"/>
    <w:rsid w:val="050F52D2"/>
    <w:rsid w:val="063B7194"/>
    <w:rsid w:val="070A64CF"/>
    <w:rsid w:val="07E5385B"/>
    <w:rsid w:val="08955281"/>
    <w:rsid w:val="0A1E4E03"/>
    <w:rsid w:val="0C590374"/>
    <w:rsid w:val="0D0D2638"/>
    <w:rsid w:val="0DF50570"/>
    <w:rsid w:val="0E2D1AB8"/>
    <w:rsid w:val="11DD7A41"/>
    <w:rsid w:val="11EE686B"/>
    <w:rsid w:val="11F052D6"/>
    <w:rsid w:val="122906CE"/>
    <w:rsid w:val="130D1EB8"/>
    <w:rsid w:val="135D43F8"/>
    <w:rsid w:val="163A7468"/>
    <w:rsid w:val="17813E0E"/>
    <w:rsid w:val="18441ED8"/>
    <w:rsid w:val="19B25567"/>
    <w:rsid w:val="1B090296"/>
    <w:rsid w:val="1B527002"/>
    <w:rsid w:val="1B590390"/>
    <w:rsid w:val="1D167BBB"/>
    <w:rsid w:val="1E827BFE"/>
    <w:rsid w:val="1F262338"/>
    <w:rsid w:val="2077343C"/>
    <w:rsid w:val="20DB67D7"/>
    <w:rsid w:val="22AC349C"/>
    <w:rsid w:val="23984E73"/>
    <w:rsid w:val="24FA6740"/>
    <w:rsid w:val="254C2D14"/>
    <w:rsid w:val="27282D2C"/>
    <w:rsid w:val="288D78CB"/>
    <w:rsid w:val="28B906C0"/>
    <w:rsid w:val="2CE83322"/>
    <w:rsid w:val="2DE30E1D"/>
    <w:rsid w:val="2E9F5C62"/>
    <w:rsid w:val="328F47C0"/>
    <w:rsid w:val="349E076A"/>
    <w:rsid w:val="35DB7EC8"/>
    <w:rsid w:val="36F44ACE"/>
    <w:rsid w:val="38AF010E"/>
    <w:rsid w:val="3B551DDF"/>
    <w:rsid w:val="3C6817B3"/>
    <w:rsid w:val="3D3659E4"/>
    <w:rsid w:val="3D64203D"/>
    <w:rsid w:val="3D9F5C7F"/>
    <w:rsid w:val="3DEC0798"/>
    <w:rsid w:val="40D40AD0"/>
    <w:rsid w:val="441B1DD7"/>
    <w:rsid w:val="44246EDE"/>
    <w:rsid w:val="44F114C2"/>
    <w:rsid w:val="45D43FEC"/>
    <w:rsid w:val="48435459"/>
    <w:rsid w:val="499441BE"/>
    <w:rsid w:val="4B3E280F"/>
    <w:rsid w:val="4BE7354F"/>
    <w:rsid w:val="4EF179BD"/>
    <w:rsid w:val="4FA64C4B"/>
    <w:rsid w:val="51051E45"/>
    <w:rsid w:val="52E2243E"/>
    <w:rsid w:val="53605111"/>
    <w:rsid w:val="53890B0C"/>
    <w:rsid w:val="54577AD8"/>
    <w:rsid w:val="55AA6650"/>
    <w:rsid w:val="55F36710"/>
    <w:rsid w:val="567426DD"/>
    <w:rsid w:val="59E44CEE"/>
    <w:rsid w:val="5A4968FF"/>
    <w:rsid w:val="5E086AD1"/>
    <w:rsid w:val="60FD0443"/>
    <w:rsid w:val="611D2893"/>
    <w:rsid w:val="61202383"/>
    <w:rsid w:val="65273CE0"/>
    <w:rsid w:val="65D26342"/>
    <w:rsid w:val="66F3252F"/>
    <w:rsid w:val="69B8584F"/>
    <w:rsid w:val="6AD049C1"/>
    <w:rsid w:val="6B975E2B"/>
    <w:rsid w:val="6BD149A6"/>
    <w:rsid w:val="6CAD5413"/>
    <w:rsid w:val="6D822F3E"/>
    <w:rsid w:val="6E337B9A"/>
    <w:rsid w:val="71A52B5D"/>
    <w:rsid w:val="766F6CB3"/>
    <w:rsid w:val="76C770D1"/>
    <w:rsid w:val="77D61BF0"/>
    <w:rsid w:val="77FE6B23"/>
    <w:rsid w:val="79003D12"/>
    <w:rsid w:val="79200D1B"/>
    <w:rsid w:val="7B615D46"/>
    <w:rsid w:val="7E582D05"/>
    <w:rsid w:val="7E9755DB"/>
    <w:rsid w:val="7F2B0557"/>
    <w:rsid w:val="7F2C45C0"/>
    <w:rsid w:val="7F7E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adjustRightInd w:val="0"/>
      <w:spacing w:before="40" w:beforeLines="0" w:after="40" w:afterLines="0" w:line="360" w:lineRule="auto"/>
      <w:textAlignment w:val="baseline"/>
      <w:outlineLvl w:val="2"/>
    </w:pPr>
    <w:rPr>
      <w:rFonts w:ascii="宋体" w:hAnsi="宋体"/>
      <w:b/>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1945</Words>
  <Characters>2054</Characters>
  <Lines>0</Lines>
  <Paragraphs>0</Paragraphs>
  <TotalTime>2</TotalTime>
  <ScaleCrop>false</ScaleCrop>
  <LinksUpToDate>false</LinksUpToDate>
  <CharactersWithSpaces>2126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2024-08-28T04:31:00Z</dcterms:created>
  <dc:creator>admin</dc:creator>
  <cp:lastModifiedBy>WPS_1336500887</cp:lastModifiedBy>
  <dcterms:modified xsi:type="dcterms:W3CDTF">2025-01-03T07:00:38Z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CD0C85EC62C74DECA7A7CA9AB727EF74_13</vt:lpwstr>
  </property>
  <property fmtid="{D5CDD505-2E9C-101B-9397-08002B2CF9AE}" pid="4" name="KSOTemplateDocerSaveRecord">
    <vt:lpwstr>eyJoZGlkIjoiMDk5ODNmYWViNzE0NDJhNWZlNGFjNTAxOGZmYzFjNTAiLCJ1c2VySWQiOiIxMzM2NTAwODg3In0=</vt:lpwstr>
  </property>
</Properties>
</file>