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1200" w:lineRule="exact"/>
        <w:jc w:val="center"/>
        <w:rPr>
          <w:rFonts w:ascii="宋体" w:hAnsi="宋体"/>
          <w:sz w:val="52"/>
          <w:szCs w:val="52"/>
        </w:rPr>
      </w:pPr>
      <w:bookmarkStart w:id="0" w:name="_GoBack"/>
      <w:bookmarkEnd w:id="0"/>
    </w:p>
    <w:p>
      <w:pPr>
        <w:pStyle w:val="3"/>
        <w:spacing w:line="1200" w:lineRule="exact"/>
        <w:jc w:val="center"/>
        <w:rPr>
          <w:rFonts w:ascii="宋体" w:hAnsi="宋体"/>
          <w:sz w:val="52"/>
          <w:szCs w:val="52"/>
        </w:rPr>
      </w:pPr>
    </w:p>
    <w:p>
      <w:pPr>
        <w:pStyle w:val="3"/>
        <w:spacing w:line="1200" w:lineRule="exact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重点绩效评价项目自评报告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napToGrid w:val="0"/>
        <w:spacing w:line="360" w:lineRule="auto"/>
        <w:ind w:left="960" w:hanging="960" w:hangingChars="3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专项资金“财政事权”名称：公共法律服务专项资金 ——欠发达地区</w:t>
      </w:r>
      <w:r>
        <w:rPr>
          <w:rFonts w:ascii="仿宋_GB2312"/>
          <w:sz w:val="32"/>
          <w:szCs w:val="32"/>
        </w:rPr>
        <w:softHyphen/>
      </w: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>—</w:t>
      </w:r>
      <w:r>
        <w:rPr>
          <w:rFonts w:ascii="仿宋_GB2312"/>
          <w:sz w:val="32"/>
          <w:szCs w:val="32"/>
        </w:rPr>
        <w:softHyphen/>
      </w:r>
      <w:r>
        <w:rPr>
          <w:rFonts w:hint="eastAsia" w:ascii="仿宋_GB2312"/>
          <w:sz w:val="32"/>
          <w:szCs w:val="32"/>
        </w:rPr>
        <w:t>— 一村（社区）一法律顾问补助资金</w:t>
      </w:r>
    </w:p>
    <w:p>
      <w:pPr>
        <w:snapToGrid w:val="0"/>
        <w:spacing w:line="360" w:lineRule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部门名称：廉江市司法局</w:t>
      </w:r>
    </w:p>
    <w:p>
      <w:pPr>
        <w:snapToGrid w:val="0"/>
        <w:spacing w:line="360" w:lineRule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填报人姓名：</w:t>
      </w:r>
      <w:r>
        <w:rPr>
          <w:rFonts w:hint="eastAsia" w:ascii="仿宋_GB2312"/>
          <w:sz w:val="32"/>
          <w:szCs w:val="32"/>
          <w:lang w:val="en-US" w:eastAsia="zh-CN"/>
        </w:rPr>
        <w:t>龙国伟</w:t>
      </w:r>
      <w:r>
        <w:rPr>
          <w:rFonts w:ascii="仿宋_GB2312"/>
          <w:sz w:val="32"/>
          <w:szCs w:val="32"/>
        </w:rPr>
        <w:t xml:space="preserve">        </w:t>
      </w:r>
      <w:r>
        <w:rPr>
          <w:rFonts w:hint="eastAsia" w:ascii="仿宋_GB2312"/>
          <w:sz w:val="32"/>
          <w:szCs w:val="32"/>
        </w:rPr>
        <w:t xml:space="preserve">    </w:t>
      </w:r>
      <w:r>
        <w:rPr>
          <w:rFonts w:ascii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联系电话：</w:t>
      </w:r>
      <w:r>
        <w:rPr>
          <w:rFonts w:hint="eastAsia" w:ascii="仿宋_GB2312"/>
          <w:sz w:val="32"/>
          <w:szCs w:val="32"/>
          <w:lang w:val="en-US" w:eastAsia="zh-CN"/>
        </w:rPr>
        <w:t>13827129966</w:t>
      </w:r>
      <w:r>
        <w:rPr>
          <w:rFonts w:ascii="仿宋_GB2312"/>
          <w:sz w:val="32"/>
          <w:szCs w:val="32"/>
        </w:rPr>
        <w:t xml:space="preserve">         </w:t>
      </w:r>
    </w:p>
    <w:p>
      <w:pPr>
        <w:snapToGrid w:val="0"/>
        <w:spacing w:line="360" w:lineRule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填报日期：202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19</w:t>
      </w:r>
      <w:r>
        <w:rPr>
          <w:rFonts w:hint="eastAsia" w:ascii="仿宋_GB2312"/>
          <w:sz w:val="32"/>
          <w:szCs w:val="32"/>
        </w:rPr>
        <w:t xml:space="preserve">日     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cs="仿宋"/>
          <w:kern w:val="0"/>
          <w:sz w:val="32"/>
          <w:szCs w:val="32"/>
        </w:rPr>
        <w:t>根据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《广东省财政厅关于开展 2024 年省级财政资金绩效自评工作的通知》和</w:t>
      </w:r>
      <w:r>
        <w:rPr>
          <w:rFonts w:hint="eastAsia" w:ascii="仿宋_GB2312" w:hAnsi="仿宋" w:cs="仿宋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cs="仿宋"/>
          <w:kern w:val="0"/>
          <w:sz w:val="32"/>
          <w:szCs w:val="32"/>
        </w:rPr>
        <w:t>广东省司法厅关于做好 2024 年省级财政资金绩效评价工作的通知</w:t>
      </w:r>
      <w:r>
        <w:rPr>
          <w:rFonts w:hint="eastAsia" w:ascii="仿宋_GB2312" w:hAnsi="仿宋" w:cs="仿宋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粤司函598号文件的要求，为进一步加强转移支付资金绩效管理，提高资金使用效益，按时完成绩效评价工作，</w:t>
      </w:r>
      <w:r>
        <w:rPr>
          <w:rFonts w:hint="eastAsia" w:ascii="仿宋_GB2312" w:hAnsi="仿宋" w:cs="仿宋"/>
          <w:kern w:val="0"/>
          <w:sz w:val="32"/>
          <w:szCs w:val="32"/>
        </w:rPr>
        <w:t>现就做好 2024 年省级财政资金绩效进行评价，内容如下：</w:t>
      </w:r>
    </w:p>
    <w:p>
      <w:pPr>
        <w:ind w:firstLine="636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一、基本情况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廉江市现在共有村（居）委3</w:t>
      </w:r>
      <w:r>
        <w:rPr>
          <w:rFonts w:ascii="仿宋_GB2312" w:hAnsi="仿宋" w:cs="仿宋"/>
          <w:kern w:val="0"/>
          <w:sz w:val="32"/>
          <w:szCs w:val="32"/>
        </w:rPr>
        <w:t>91</w:t>
      </w:r>
      <w:r>
        <w:rPr>
          <w:rFonts w:hint="eastAsia" w:ascii="仿宋_GB2312" w:hAnsi="仿宋" w:cs="仿宋"/>
          <w:kern w:val="0"/>
          <w:sz w:val="32"/>
          <w:szCs w:val="32"/>
        </w:rPr>
        <w:t>个，省级一村（社区）一法律顾问经费的资金额度是</w:t>
      </w:r>
      <w:r>
        <w:rPr>
          <w:rFonts w:ascii="仿宋_GB2312" w:hAnsi="仿宋" w:cs="仿宋"/>
          <w:kern w:val="0"/>
          <w:sz w:val="32"/>
          <w:szCs w:val="32"/>
        </w:rPr>
        <w:t>195.5</w:t>
      </w:r>
      <w:r>
        <w:rPr>
          <w:rFonts w:hint="eastAsia" w:ascii="仿宋_GB2312" w:hAnsi="仿宋" w:cs="仿宋"/>
          <w:kern w:val="0"/>
          <w:sz w:val="32"/>
          <w:szCs w:val="32"/>
        </w:rPr>
        <w:t>万元，主要用于法律顾问的服务经费补助。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律师受聘担任村（社区）法律顾问工作的主要绩效目标是：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1.为村（社区）管理提供法律专业意见。协助起草、审核、修订村（社区）自治组织章程、村规民约以及其他管理规定。为村（社区）重大经济、民生和社会管理方面的决策提供法律意见，引导村（社区）依法管理。协助村（社区）解决换届选举中的法律问题。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2.为群众提供法律咨询和法律援助。向群众解答日常生活中特别是在征地拆迁、土地权属、婚姻家庭、上学就医、社会保障、环境保护等方面遇到的法律问题，提供法律意见。协助村（社区）组织处理信访案件，引导当事人依法、理性反映诉求，依法维护自身的合法权益。经法律援助机构的审查同意，为符合法律援助条件的群众提供法律援助。接受群众委托代为起草、修改有关法律文书和参与诉讼活动应酌情减免服务费用，并向县（市、区）司法行政机关备案。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3.开展法制宣传。定期举办法制讲座，通过“以案说法”、以群众身边事讲法说法等方式普及群众日常生活涉及的法律知识，增强干部群众的法律意识，树立正确的权利义务观念，依法办事，依法解决矛盾纠纷。针对村（社区）企业在转型升级、知识产权、劳资纠纷等方面遇到的问题，开展法律讲座等法律服务，为企业解惑释疑，促进企业生产经营平稳发展。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村（社区）法律顾问每个月至少到村（社区）服务1天（不少于8个小时），每个季度至少举办1次法制讲座。具体的服务时间由律师与村（社区）组织商定后予以公示。村（社区）法律顾问对村（社区）组织和群众提出的具体法律服务需求应及时回应，对可能影响社会和谐稳定或涉及村（社区）、群众重大利益的事情，应及时到场或通过电话提出法律意见，同时向当地县（市、区）司法行政机关报告。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" w:cs="仿宋"/>
          <w:kern w:val="0"/>
          <w:sz w:val="32"/>
          <w:szCs w:val="32"/>
        </w:rPr>
        <w:t>年度广东省一村（社区）一法律顾问补助资金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195.5</w:t>
      </w:r>
      <w:r>
        <w:rPr>
          <w:rFonts w:hint="eastAsia" w:ascii="仿宋_GB2312" w:hAnsi="仿宋" w:cs="仿宋"/>
          <w:kern w:val="0"/>
          <w:sz w:val="32"/>
          <w:szCs w:val="32"/>
        </w:rPr>
        <w:t>万元。专项资金的分配，严格按上级文件要求，无发生截留、挤占、挪用资金的现象。</w:t>
      </w:r>
    </w:p>
    <w:p>
      <w:pPr>
        <w:ind w:firstLine="636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二、自评情况</w:t>
      </w:r>
    </w:p>
    <w:p>
      <w:pPr>
        <w:ind w:firstLine="636"/>
        <w:rPr>
          <w:rFonts w:ascii="仿宋_GB2312" w:hAnsi="仿宋" w:cs="仿宋"/>
          <w:kern w:val="0"/>
          <w:sz w:val="32"/>
          <w:szCs w:val="32"/>
        </w:rPr>
      </w:pPr>
      <w:r>
        <w:rPr>
          <w:rFonts w:hint="eastAsia" w:ascii="仿宋_GB2312" w:hAnsi="仿宋" w:cs="仿宋"/>
          <w:kern w:val="0"/>
          <w:sz w:val="32"/>
          <w:szCs w:val="32"/>
        </w:rPr>
        <w:t>（一）自评分数</w:t>
      </w:r>
    </w:p>
    <w:p>
      <w:pPr>
        <w:ind w:firstLine="640" w:firstLineChars="200"/>
        <w:rPr>
          <w:rFonts w:hint="eastAsia" w:ascii="仿宋_GB2312" w:hAnsi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kern w:val="0"/>
          <w:sz w:val="32"/>
          <w:szCs w:val="32"/>
        </w:rPr>
        <w:t>根据基础信息、佐证材料等得分依据，对照绩效评价指标评分标准，我市202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cs="仿宋"/>
          <w:kern w:val="0"/>
          <w:sz w:val="32"/>
          <w:szCs w:val="32"/>
        </w:rPr>
        <w:t>年关于省级财政下达的广东省一村（社区）一法律顾问补助资金的绩效自评得分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hAnsi="仿宋" w:cs="仿宋"/>
          <w:kern w:val="0"/>
          <w:sz w:val="32"/>
          <w:szCs w:val="32"/>
        </w:rPr>
        <w:t>分</w:t>
      </w:r>
      <w:r>
        <w:rPr>
          <w:rFonts w:hint="eastAsia" w:ascii="仿宋_GB2312" w:hAnsi="仿宋" w:cs="仿宋"/>
          <w:kern w:val="0"/>
          <w:sz w:val="32"/>
          <w:szCs w:val="32"/>
          <w:lang w:val="en-US" w:eastAsia="zh-CN"/>
        </w:rPr>
        <w:t>.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（二）专项资金使用绩效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专项资金支出情况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年省级财政专项资金补助额度为19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.5万元，实际支出19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.5万元，其中：上半年支出195.5万元，资金支出率为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专项资金完成绩效目标情况</w:t>
      </w:r>
    </w:p>
    <w:p>
      <w:pPr>
        <w:ind w:firstLine="640" w:firstLineChars="200"/>
        <w:rPr>
          <w:rFonts w:ascii="仿宋_GB2312" w:hAnsi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年省级财政专项资金支持项目实施成效显著，实际绩效符合预期绩效。</w:t>
      </w: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hAnsi="仿宋" w:cs="仿宋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专项资金分用途使用绩效</w:t>
      </w: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专项资金</w:t>
      </w:r>
      <w:r>
        <w:rPr>
          <w:rFonts w:hint="eastAsia" w:ascii="仿宋_GB2312"/>
          <w:sz w:val="32"/>
          <w:szCs w:val="32"/>
        </w:rPr>
        <w:t>主要用在聘请一村（社区）一法律顾问工作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经费。</w:t>
      </w: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（三）专项资金使用绩效存在的问题</w:t>
      </w:r>
    </w:p>
    <w:p>
      <w:pPr>
        <w:ind w:firstLine="640" w:firstLineChars="200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无。</w:t>
      </w:r>
    </w:p>
    <w:p>
      <w:pPr>
        <w:ind w:left="636"/>
        <w:rPr>
          <w:rFonts w:ascii="黑体" w:hAnsi="黑体" w:eastAsia="黑体" w:cs="仿宋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color w:val="000000"/>
          <w:kern w:val="0"/>
          <w:sz w:val="32"/>
          <w:szCs w:val="32"/>
        </w:rPr>
        <w:t>三、改进意见</w:t>
      </w:r>
    </w:p>
    <w:p>
      <w:pPr>
        <w:ind w:firstLine="640" w:firstLineChars="200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由于地方财政较为困难，</w:t>
      </w:r>
      <w:r>
        <w:rPr>
          <w:rFonts w:hint="eastAsia" w:ascii="仿宋_GB2312" w:hAnsi="仿宋" w:cs="仿宋"/>
          <w:color w:val="000000"/>
          <w:kern w:val="0"/>
          <w:sz w:val="32"/>
          <w:szCs w:val="32"/>
          <w:lang w:val="en-US" w:eastAsia="zh-CN"/>
        </w:rPr>
        <w:t>该项目的地方配套资金一直不到位；有些村居位置太远，希望能增加省专项资金的拨付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。</w:t>
      </w: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</w:p>
    <w:p>
      <w:pPr>
        <w:ind w:firstLine="636"/>
        <w:rPr>
          <w:rFonts w:ascii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hAnsi="仿宋" w:cs="仿宋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廉江市司法局</w:t>
      </w:r>
    </w:p>
    <w:p>
      <w:pPr>
        <w:ind w:firstLine="5753" w:firstLineChars="1798"/>
      </w:pP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cs="仿宋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cs="仿宋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ZGUzMjA0OTk0MmZlMmIyNTU0OTM5ZjY5NGRlZDMifQ=="/>
  </w:docVars>
  <w:rsids>
    <w:rsidRoot w:val="2ABF650E"/>
    <w:rsid w:val="00243424"/>
    <w:rsid w:val="00250B0D"/>
    <w:rsid w:val="0029409D"/>
    <w:rsid w:val="00655188"/>
    <w:rsid w:val="006F1BA9"/>
    <w:rsid w:val="007F2AEB"/>
    <w:rsid w:val="00924AFD"/>
    <w:rsid w:val="024C2E75"/>
    <w:rsid w:val="1FB423B2"/>
    <w:rsid w:val="2ABF650E"/>
    <w:rsid w:val="2E142DBC"/>
    <w:rsid w:val="399F1DCF"/>
    <w:rsid w:val="3B6536D7"/>
    <w:rsid w:val="51F92090"/>
    <w:rsid w:val="529A43BE"/>
    <w:rsid w:val="76A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（缩进）"/>
    <w:basedOn w:val="1"/>
    <w:autoRedefine/>
    <w:qFormat/>
    <w:uiPriority w:val="0"/>
    <w:pPr>
      <w:spacing w:before="156" w:beforeLines="50" w:after="156" w:afterLines="50" w:line="360" w:lineRule="auto"/>
      <w:ind w:firstLine="480" w:firstLineChars="200"/>
    </w:pPr>
    <w:rPr>
      <w:kern w:val="0"/>
      <w:sz w:val="24"/>
      <w:szCs w:val="20"/>
    </w:rPr>
  </w:style>
  <w:style w:type="paragraph" w:customStyle="1" w:styleId="10">
    <w:name w:val="正文首行缩进 21"/>
    <w:basedOn w:val="11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1">
    <w:name w:val="正文文本缩进1"/>
    <w:basedOn w:val="1"/>
    <w:autoRedefine/>
    <w:qFormat/>
    <w:uiPriority w:val="0"/>
    <w:pPr>
      <w:spacing w:line="150" w:lineRule="atLeast"/>
      <w:ind w:firstLine="420" w:firstLineChars="200"/>
      <w:textAlignment w:val="baseline"/>
    </w:pPr>
  </w:style>
  <w:style w:type="character" w:customStyle="1" w:styleId="12">
    <w:name w:val="页眉 字符"/>
    <w:basedOn w:val="8"/>
    <w:link w:val="6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标题 1 字符"/>
    <w:basedOn w:val="8"/>
    <w:link w:val="3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276</Words>
  <Characters>1576</Characters>
  <Lines>13</Lines>
  <Paragraphs>3</Paragraphs>
  <TotalTime>14</TotalTime>
  <ScaleCrop>false</ScaleCrop>
  <LinksUpToDate>false</LinksUpToDate>
  <CharactersWithSpaces>1849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2023-05-04T01:38:00Z</dcterms:created>
  <dc:creator>王小玉</dc:creator>
  <cp:lastModifiedBy>懒懒嘚龙</cp:lastModifiedBy>
  <dcterms:modified xsi:type="dcterms:W3CDTF">2024-05-07T08:48:24Z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6B76AE3C2840486E962D445EDB6DAF38_13</vt:lpwstr>
  </property>
</Properties>
</file>