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jc w:val="center"/>
        <w:rPr>
          <w:rFonts w:hint="eastAsia"/>
          <w:sz w:val="36"/>
          <w:szCs w:val="36"/>
          <w:highlight w:val="none"/>
        </w:rPr>
      </w:pPr>
    </w:p>
    <w:p>
      <w:pPr>
        <w:ind w:firstLine="720"/>
        <w:jc w:val="center"/>
        <w:rPr>
          <w:sz w:val="36"/>
          <w:szCs w:val="36"/>
          <w:highlight w:val="none"/>
        </w:rPr>
      </w:pPr>
      <w:r>
        <w:rPr>
          <w:rFonts w:hint="eastAsia"/>
          <w:sz w:val="36"/>
          <w:szCs w:val="36"/>
          <w:highlight w:val="none"/>
        </w:rPr>
        <w:t>廉江河综合治理工程新村电站片项目（一期）</w:t>
      </w:r>
    </w:p>
    <w:p>
      <w:pPr>
        <w:ind w:firstLine="1040"/>
        <w:rPr>
          <w:rFonts w:ascii="宋体" w:hAnsi="宋体" w:cs="宋体"/>
          <w:sz w:val="52"/>
          <w:szCs w:val="52"/>
          <w:highlight w:val="none"/>
        </w:rPr>
      </w:pPr>
    </w:p>
    <w:p>
      <w:pPr>
        <w:ind w:firstLine="2409" w:firstLineChars="500"/>
        <w:jc w:val="both"/>
        <w:rPr>
          <w:rFonts w:hint="eastAsia"/>
          <w:b/>
          <w:sz w:val="48"/>
          <w:szCs w:val="48"/>
          <w:highlight w:val="none"/>
        </w:rPr>
      </w:pPr>
    </w:p>
    <w:p>
      <w:pPr>
        <w:ind w:firstLine="2409" w:firstLineChars="500"/>
        <w:jc w:val="both"/>
        <w:rPr>
          <w:rFonts w:hint="eastAsia"/>
          <w:b/>
          <w:sz w:val="48"/>
          <w:szCs w:val="48"/>
          <w:highlight w:val="none"/>
        </w:rPr>
      </w:pPr>
    </w:p>
    <w:p>
      <w:pPr>
        <w:ind w:left="0" w:leftChars="0" w:firstLine="0" w:firstLineChars="0"/>
        <w:jc w:val="both"/>
        <w:rPr>
          <w:rFonts w:hint="eastAsia"/>
          <w:b/>
          <w:sz w:val="48"/>
          <w:szCs w:val="48"/>
          <w:highlight w:val="none"/>
        </w:rPr>
      </w:pPr>
    </w:p>
    <w:p>
      <w:pPr>
        <w:ind w:firstLine="2409" w:firstLineChars="500"/>
        <w:jc w:val="both"/>
        <w:rPr>
          <w:rFonts w:hint="eastAsia"/>
          <w:b/>
          <w:sz w:val="48"/>
          <w:szCs w:val="48"/>
          <w:highlight w:val="none"/>
        </w:rPr>
      </w:pPr>
    </w:p>
    <w:p>
      <w:pPr>
        <w:ind w:firstLine="2409" w:firstLineChars="500"/>
        <w:jc w:val="both"/>
        <w:rPr>
          <w:b/>
          <w:sz w:val="48"/>
          <w:szCs w:val="48"/>
          <w:highlight w:val="none"/>
        </w:rPr>
      </w:pPr>
      <w:r>
        <w:rPr>
          <w:rFonts w:hint="eastAsia"/>
          <w:b/>
          <w:sz w:val="48"/>
          <w:szCs w:val="48"/>
          <w:highlight w:val="none"/>
        </w:rPr>
        <w:t>树木迁移方案</w:t>
      </w:r>
    </w:p>
    <w:p>
      <w:pPr>
        <w:ind w:firstLine="1044"/>
        <w:jc w:val="center"/>
        <w:rPr>
          <w:rFonts w:ascii="宋体" w:hAnsi="宋体" w:cs="宋体"/>
          <w:b/>
          <w:bCs/>
          <w:sz w:val="52"/>
          <w:szCs w:val="52"/>
          <w:highlight w:val="none"/>
        </w:rPr>
      </w:pPr>
    </w:p>
    <w:p>
      <w:pPr>
        <w:spacing w:line="480" w:lineRule="auto"/>
        <w:ind w:right="46" w:rightChars="19" w:firstLine="2400" w:firstLineChars="1000"/>
        <w:rPr>
          <w:rFonts w:ascii="宋体" w:hAnsi="宋体" w:cs="宋体"/>
          <w:bCs/>
          <w:highlight w:val="none"/>
        </w:rPr>
      </w:pPr>
    </w:p>
    <w:p>
      <w:pPr>
        <w:pStyle w:val="17"/>
        <w:ind w:firstLine="0" w:firstLineChars="0"/>
        <w:rPr>
          <w:rFonts w:ascii="宋体" w:hAnsi="宋体" w:cs="宋体"/>
          <w:bCs/>
          <w:sz w:val="28"/>
          <w:szCs w:val="28"/>
          <w:highlight w:val="none"/>
        </w:rPr>
      </w:pPr>
    </w:p>
    <w:p>
      <w:pPr>
        <w:pStyle w:val="17"/>
        <w:ind w:left="0" w:leftChars="0" w:firstLine="0" w:firstLineChars="0"/>
        <w:rPr>
          <w:rFonts w:ascii="宋体" w:hAnsi="宋体" w:cs="宋体"/>
          <w:bCs/>
          <w:sz w:val="28"/>
          <w:szCs w:val="28"/>
          <w:highlight w:val="none"/>
        </w:rPr>
      </w:pPr>
    </w:p>
    <w:p>
      <w:bookmarkStart w:id="57" w:name="_GoBack"/>
      <w:bookmarkEnd w:id="57"/>
    </w:p>
    <w:p>
      <w:pPr>
        <w:spacing w:line="600" w:lineRule="auto"/>
        <w:ind w:firstLine="560"/>
        <w:rPr>
          <w:sz w:val="28"/>
          <w:szCs w:val="28"/>
          <w:highlight w:val="none"/>
        </w:rPr>
      </w:pPr>
    </w:p>
    <w:p>
      <w:pPr>
        <w:spacing w:line="600" w:lineRule="auto"/>
        <w:ind w:firstLine="840" w:firstLineChars="300"/>
        <w:rPr>
          <w:highlight w:val="none"/>
          <w:u w:val="single"/>
        </w:rPr>
      </w:pPr>
      <w:r>
        <w:rPr>
          <w:rFonts w:hint="eastAsia"/>
          <w:sz w:val="28"/>
          <w:szCs w:val="28"/>
          <w:highlight w:val="none"/>
        </w:rPr>
        <w:t>编制单位：</w:t>
      </w:r>
      <w:r>
        <w:rPr>
          <w:rFonts w:hint="eastAsia"/>
          <w:highlight w:val="none"/>
          <w:u w:val="single"/>
        </w:rPr>
        <w:t>中交四航局廉江河综合治理工程总承包项目经理部</w:t>
      </w:r>
    </w:p>
    <w:p>
      <w:pPr>
        <w:ind w:firstLine="480"/>
        <w:rPr>
          <w:highlight w:val="none"/>
        </w:rPr>
        <w:sectPr>
          <w:footerReference r:id="rId5" w:type="default"/>
          <w:pgSz w:w="11906" w:h="16838"/>
          <w:pgMar w:top="620" w:right="1286" w:bottom="678" w:left="1600" w:header="851" w:footer="992" w:gutter="0"/>
          <w:cols w:space="425" w:num="1"/>
          <w:docGrid w:type="lines" w:linePitch="312" w:charSpace="0"/>
        </w:sectPr>
      </w:pPr>
    </w:p>
    <w:p>
      <w:pPr>
        <w:pStyle w:val="17"/>
        <w:ind w:firstLine="240"/>
        <w:rPr>
          <w:highlight w:val="none"/>
        </w:rPr>
      </w:pPr>
    </w:p>
    <w:p>
      <w:pPr>
        <w:ind w:firstLine="803"/>
        <w:jc w:val="center"/>
        <w:rPr>
          <w:b/>
          <w:bCs/>
          <w:sz w:val="40"/>
          <w:highlight w:val="none"/>
        </w:rPr>
      </w:pPr>
      <w:r>
        <w:rPr>
          <w:rFonts w:ascii="宋体" w:hAnsi="宋体"/>
          <w:b/>
          <w:bCs/>
          <w:sz w:val="40"/>
          <w:highlight w:val="none"/>
        </w:rPr>
        <w:t>目录</w:t>
      </w:r>
    </w:p>
    <w:p>
      <w:pPr>
        <w:pStyle w:val="15"/>
        <w:tabs>
          <w:tab w:val="right" w:leader="dot" w:pos="9020"/>
        </w:tabs>
      </w:pPr>
      <w:r>
        <w:rPr>
          <w:rFonts w:ascii="新宋体" w:hAnsi="新宋体" w:eastAsia="新宋体" w:cs="新宋体"/>
          <w:color w:val="000000"/>
          <w:kern w:val="0"/>
          <w:sz w:val="28"/>
          <w:szCs w:val="28"/>
          <w:highlight w:val="none"/>
        </w:rPr>
        <w:fldChar w:fldCharType="begin"/>
      </w:r>
      <w:r>
        <w:rPr>
          <w:rFonts w:ascii="新宋体" w:hAnsi="新宋体" w:eastAsia="新宋体" w:cs="新宋体"/>
          <w:color w:val="000000"/>
          <w:kern w:val="0"/>
          <w:sz w:val="28"/>
          <w:szCs w:val="28"/>
          <w:highlight w:val="none"/>
        </w:rPr>
        <w:instrText xml:space="preserve"> TOC \o "1-3" \h \z \u </w:instrText>
      </w:r>
      <w:r>
        <w:rPr>
          <w:rFonts w:ascii="新宋体" w:hAnsi="新宋体" w:eastAsia="新宋体" w:cs="新宋体"/>
          <w:color w:val="000000"/>
          <w:kern w:val="0"/>
          <w:sz w:val="28"/>
          <w:szCs w:val="28"/>
          <w:highlight w:val="none"/>
        </w:rPr>
        <w:fldChar w:fldCharType="separate"/>
      </w: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_Toc702 </w:instrText>
      </w:r>
      <w:r>
        <w:rPr>
          <w:rFonts w:ascii="新宋体" w:hAnsi="新宋体" w:eastAsia="新宋体" w:cs="新宋体"/>
          <w:kern w:val="0"/>
          <w:szCs w:val="28"/>
          <w:highlight w:val="none"/>
        </w:rPr>
        <w:fldChar w:fldCharType="separate"/>
      </w:r>
      <w:r>
        <w:rPr>
          <w:rFonts w:hint="eastAsia"/>
          <w:szCs w:val="28"/>
        </w:rPr>
        <w:t xml:space="preserve">第一章 </w:t>
      </w:r>
      <w:r>
        <w:rPr>
          <w:rFonts w:hint="eastAsia"/>
          <w:szCs w:val="28"/>
          <w:highlight w:val="none"/>
        </w:rPr>
        <w:t>工程概况</w:t>
      </w:r>
      <w:r>
        <w:tab/>
      </w:r>
      <w:r>
        <w:fldChar w:fldCharType="begin"/>
      </w:r>
      <w:r>
        <w:instrText xml:space="preserve"> PAGEREF _Toc702 \h </w:instrText>
      </w:r>
      <w:r>
        <w:fldChar w:fldCharType="separate"/>
      </w:r>
      <w:r>
        <w:t>1</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_Toc2993 </w:instrText>
      </w:r>
      <w:r>
        <w:rPr>
          <w:rFonts w:ascii="新宋体" w:hAnsi="新宋体" w:eastAsia="新宋体" w:cs="新宋体"/>
          <w:kern w:val="0"/>
          <w:szCs w:val="28"/>
          <w:highlight w:val="none"/>
        </w:rPr>
        <w:fldChar w:fldCharType="separate"/>
      </w:r>
      <w:r>
        <w:rPr>
          <w:rFonts w:hint="eastAsia"/>
          <w:highlight w:val="none"/>
        </w:rPr>
        <w:t>一、项目简介</w:t>
      </w:r>
      <w:r>
        <w:tab/>
      </w:r>
      <w:r>
        <w:fldChar w:fldCharType="begin"/>
      </w:r>
      <w:r>
        <w:instrText xml:space="preserve"> PAGEREF _Toc2993 \h </w:instrText>
      </w:r>
      <w:r>
        <w:fldChar w:fldCharType="separate"/>
      </w:r>
      <w:r>
        <w:t>1</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_Toc12577 </w:instrText>
      </w:r>
      <w:r>
        <w:rPr>
          <w:rFonts w:ascii="新宋体" w:hAnsi="新宋体" w:eastAsia="新宋体" w:cs="新宋体"/>
          <w:kern w:val="0"/>
          <w:szCs w:val="28"/>
          <w:highlight w:val="none"/>
        </w:rPr>
        <w:fldChar w:fldCharType="separate"/>
      </w:r>
      <w:r>
        <w:rPr>
          <w:rFonts w:hint="eastAsia"/>
          <w:highlight w:val="none"/>
        </w:rPr>
        <w:t>二、工程概括</w:t>
      </w:r>
      <w:r>
        <w:tab/>
      </w:r>
      <w:r>
        <w:fldChar w:fldCharType="begin"/>
      </w:r>
      <w:r>
        <w:instrText xml:space="preserve"> PAGEREF _Toc12577 \h </w:instrText>
      </w:r>
      <w:r>
        <w:fldChar w:fldCharType="separate"/>
      </w:r>
      <w:r>
        <w:t>1</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_Toc26220 </w:instrText>
      </w:r>
      <w:r>
        <w:rPr>
          <w:rFonts w:ascii="新宋体" w:hAnsi="新宋体" w:eastAsia="新宋体" w:cs="新宋体"/>
          <w:kern w:val="0"/>
          <w:szCs w:val="28"/>
          <w:highlight w:val="none"/>
        </w:rPr>
        <w:fldChar w:fldCharType="separate"/>
      </w:r>
      <w:r>
        <w:rPr>
          <w:rFonts w:hint="eastAsia"/>
          <w:highlight w:val="none"/>
        </w:rPr>
        <w:t>三、现场树木、路灯、电线杆、标牌等附属物情况：</w:t>
      </w:r>
      <w:r>
        <w:tab/>
      </w:r>
      <w:r>
        <w:fldChar w:fldCharType="begin"/>
      </w:r>
      <w:r>
        <w:instrText xml:space="preserve"> PAGEREF _Toc26220 \h </w:instrText>
      </w:r>
      <w:r>
        <w:fldChar w:fldCharType="separate"/>
      </w:r>
      <w:r>
        <w:t>4</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_Toc25191 </w:instrText>
      </w:r>
      <w:r>
        <w:rPr>
          <w:rFonts w:ascii="新宋体" w:hAnsi="新宋体" w:eastAsia="新宋体" w:cs="新宋体"/>
          <w:kern w:val="0"/>
          <w:szCs w:val="28"/>
          <w:highlight w:val="none"/>
        </w:rPr>
        <w:fldChar w:fldCharType="separate"/>
      </w:r>
      <w:r>
        <w:rPr>
          <w:rFonts w:hint="eastAsia"/>
          <w:szCs w:val="28"/>
        </w:rPr>
        <w:t xml:space="preserve">第二章 </w:t>
      </w:r>
      <w:r>
        <w:rPr>
          <w:rFonts w:hint="eastAsia"/>
          <w:szCs w:val="28"/>
          <w:highlight w:val="none"/>
        </w:rPr>
        <w:t>编制依据</w:t>
      </w:r>
      <w:r>
        <w:tab/>
      </w:r>
      <w:r>
        <w:fldChar w:fldCharType="begin"/>
      </w:r>
      <w:r>
        <w:instrText xml:space="preserve"> PAGEREF _Toc25191 \h </w:instrText>
      </w:r>
      <w:r>
        <w:fldChar w:fldCharType="separate"/>
      </w:r>
      <w:r>
        <w:t>6</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_Toc13517 </w:instrText>
      </w:r>
      <w:r>
        <w:rPr>
          <w:rFonts w:ascii="新宋体" w:hAnsi="新宋体" w:eastAsia="新宋体" w:cs="新宋体"/>
          <w:kern w:val="0"/>
          <w:szCs w:val="28"/>
          <w:highlight w:val="none"/>
        </w:rPr>
        <w:fldChar w:fldCharType="separate"/>
      </w:r>
      <w:r>
        <w:rPr>
          <w:rFonts w:hint="eastAsia"/>
          <w:szCs w:val="28"/>
        </w:rPr>
        <w:t xml:space="preserve">第三章 </w:t>
      </w:r>
      <w:r>
        <w:rPr>
          <w:rFonts w:hint="eastAsia"/>
          <w:szCs w:val="28"/>
          <w:highlight w:val="none"/>
        </w:rPr>
        <w:t>迁移的必要性</w:t>
      </w:r>
      <w:r>
        <w:tab/>
      </w:r>
      <w:r>
        <w:fldChar w:fldCharType="begin"/>
      </w:r>
      <w:r>
        <w:instrText xml:space="preserve"> PAGEREF _Toc13517 \h </w:instrText>
      </w:r>
      <w:r>
        <w:fldChar w:fldCharType="separate"/>
      </w:r>
      <w:r>
        <w:t>7</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_Toc23753 </w:instrText>
      </w:r>
      <w:r>
        <w:rPr>
          <w:rFonts w:ascii="新宋体" w:hAnsi="新宋体" w:eastAsia="新宋体" w:cs="新宋体"/>
          <w:kern w:val="0"/>
          <w:szCs w:val="28"/>
          <w:highlight w:val="none"/>
        </w:rPr>
        <w:fldChar w:fldCharType="separate"/>
      </w:r>
      <w:r>
        <w:rPr>
          <w:rFonts w:hint="eastAsia"/>
          <w:szCs w:val="28"/>
        </w:rPr>
        <w:t xml:space="preserve">第四章 </w:t>
      </w:r>
      <w:r>
        <w:rPr>
          <w:rFonts w:hint="eastAsia"/>
          <w:szCs w:val="28"/>
          <w:highlight w:val="none"/>
        </w:rPr>
        <w:t>树木迁移施工方案</w:t>
      </w:r>
      <w:r>
        <w:tab/>
      </w:r>
      <w:r>
        <w:fldChar w:fldCharType="begin"/>
      </w:r>
      <w:r>
        <w:instrText xml:space="preserve"> PAGEREF _Toc23753 \h </w:instrText>
      </w:r>
      <w:r>
        <w:fldChar w:fldCharType="separate"/>
      </w:r>
      <w:r>
        <w:t>12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_Toc28866 </w:instrText>
      </w:r>
      <w:r>
        <w:rPr>
          <w:rFonts w:ascii="新宋体" w:hAnsi="新宋体" w:eastAsia="新宋体" w:cs="新宋体"/>
          <w:kern w:val="0"/>
          <w:szCs w:val="28"/>
          <w:highlight w:val="none"/>
        </w:rPr>
        <w:fldChar w:fldCharType="separate"/>
      </w:r>
      <w:r>
        <w:rPr>
          <w:rFonts w:hint="eastAsia" w:eastAsia="宋体"/>
          <w:highlight w:val="none"/>
          <w:lang w:val="en-US" w:eastAsia="zh-CN"/>
        </w:rPr>
        <w:t>一、施工组织机构</w:t>
      </w:r>
      <w:r>
        <w:tab/>
      </w:r>
      <w:r>
        <w:fldChar w:fldCharType="begin"/>
      </w:r>
      <w:r>
        <w:instrText xml:space="preserve"> PAGEREF _Toc28866 \h </w:instrText>
      </w:r>
      <w:r>
        <w:fldChar w:fldCharType="separate"/>
      </w:r>
      <w:r>
        <w:t>12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_Toc5310 </w:instrText>
      </w:r>
      <w:r>
        <w:rPr>
          <w:rFonts w:ascii="新宋体" w:hAnsi="新宋体" w:eastAsia="新宋体" w:cs="新宋体"/>
          <w:kern w:val="0"/>
          <w:szCs w:val="28"/>
          <w:highlight w:val="none"/>
        </w:rPr>
        <w:fldChar w:fldCharType="separate"/>
      </w:r>
      <w:r>
        <w:rPr>
          <w:rFonts w:hint="eastAsia"/>
          <w:highlight w:val="none"/>
          <w:lang w:val="en-US" w:eastAsia="zh-CN"/>
        </w:rPr>
        <w:t>二</w:t>
      </w:r>
      <w:r>
        <w:rPr>
          <w:rFonts w:hint="eastAsia"/>
          <w:highlight w:val="none"/>
        </w:rPr>
        <w:t>、围蔽</w:t>
      </w:r>
      <w:r>
        <w:tab/>
      </w:r>
      <w:r>
        <w:fldChar w:fldCharType="begin"/>
      </w:r>
      <w:r>
        <w:instrText xml:space="preserve"> PAGEREF _Toc5310 \h </w:instrText>
      </w:r>
      <w:r>
        <w:fldChar w:fldCharType="separate"/>
      </w:r>
      <w:r>
        <w:t>12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_Toc15873 </w:instrText>
      </w:r>
      <w:r>
        <w:rPr>
          <w:rFonts w:ascii="新宋体" w:hAnsi="新宋体" w:eastAsia="新宋体" w:cs="新宋体"/>
          <w:kern w:val="0"/>
          <w:szCs w:val="28"/>
          <w:highlight w:val="none"/>
        </w:rPr>
        <w:fldChar w:fldCharType="separate"/>
      </w:r>
      <w:r>
        <w:rPr>
          <w:rFonts w:hint="eastAsia"/>
          <w:highlight w:val="none"/>
          <w:lang w:val="en-US" w:eastAsia="zh-CN"/>
        </w:rPr>
        <w:t>三</w:t>
      </w:r>
      <w:r>
        <w:rPr>
          <w:rFonts w:hint="eastAsia"/>
          <w:highlight w:val="none"/>
        </w:rPr>
        <w:t>、移植的准备工作</w:t>
      </w:r>
      <w:r>
        <w:tab/>
      </w:r>
      <w:r>
        <w:fldChar w:fldCharType="begin"/>
      </w:r>
      <w:r>
        <w:instrText xml:space="preserve"> PAGEREF _Toc15873 \h </w:instrText>
      </w:r>
      <w:r>
        <w:fldChar w:fldCharType="separate"/>
      </w:r>
      <w:r>
        <w:t>13</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_Toc9157 </w:instrText>
      </w:r>
      <w:r>
        <w:rPr>
          <w:rFonts w:ascii="新宋体" w:hAnsi="新宋体" w:eastAsia="新宋体" w:cs="新宋体"/>
          <w:kern w:val="0"/>
          <w:szCs w:val="28"/>
          <w:highlight w:val="none"/>
        </w:rPr>
        <w:fldChar w:fldCharType="separate"/>
      </w:r>
      <w:r>
        <w:rPr>
          <w:rFonts w:hint="eastAsia"/>
          <w:highlight w:val="none"/>
          <w:lang w:val="en-US" w:eastAsia="zh-CN"/>
        </w:rPr>
        <w:t>四</w:t>
      </w:r>
      <w:r>
        <w:rPr>
          <w:rFonts w:hint="eastAsia"/>
          <w:highlight w:val="none"/>
        </w:rPr>
        <w:t>、移植中需注意的问题</w:t>
      </w:r>
      <w:r>
        <w:tab/>
      </w:r>
      <w:r>
        <w:fldChar w:fldCharType="begin"/>
      </w:r>
      <w:r>
        <w:instrText xml:space="preserve"> PAGEREF _Toc9157 \h </w:instrText>
      </w:r>
      <w:r>
        <w:fldChar w:fldCharType="separate"/>
      </w:r>
      <w:r>
        <w:t>13</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_Toc10820 </w:instrText>
      </w:r>
      <w:r>
        <w:rPr>
          <w:rFonts w:ascii="新宋体" w:hAnsi="新宋体" w:eastAsia="新宋体" w:cs="新宋体"/>
          <w:kern w:val="0"/>
          <w:szCs w:val="28"/>
          <w:highlight w:val="none"/>
        </w:rPr>
        <w:fldChar w:fldCharType="separate"/>
      </w:r>
      <w:r>
        <w:rPr>
          <w:rFonts w:hint="eastAsia"/>
          <w:highlight w:val="none"/>
          <w:lang w:val="en-US" w:eastAsia="zh-CN"/>
        </w:rPr>
        <w:t>五</w:t>
      </w:r>
      <w:r>
        <w:rPr>
          <w:rFonts w:hint="eastAsia"/>
          <w:highlight w:val="none"/>
        </w:rPr>
        <w:t>、树木迁移施工程序</w:t>
      </w:r>
      <w:r>
        <w:tab/>
      </w:r>
      <w:r>
        <w:fldChar w:fldCharType="begin"/>
      </w:r>
      <w:r>
        <w:instrText xml:space="preserve"> PAGEREF _Toc10820 \h </w:instrText>
      </w:r>
      <w:r>
        <w:fldChar w:fldCharType="separate"/>
      </w:r>
      <w:r>
        <w:t>13</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_Toc6676 </w:instrText>
      </w:r>
      <w:r>
        <w:rPr>
          <w:rFonts w:ascii="新宋体" w:hAnsi="新宋体" w:eastAsia="新宋体" w:cs="新宋体"/>
          <w:kern w:val="0"/>
          <w:szCs w:val="28"/>
          <w:highlight w:val="none"/>
        </w:rPr>
        <w:fldChar w:fldCharType="separate"/>
      </w:r>
      <w:r>
        <w:rPr>
          <w:rFonts w:hint="eastAsia"/>
          <w:highlight w:val="none"/>
          <w:lang w:val="en-US" w:eastAsia="zh-CN"/>
        </w:rPr>
        <w:t>六</w:t>
      </w:r>
      <w:r>
        <w:rPr>
          <w:rFonts w:hint="eastAsia"/>
          <w:highlight w:val="none"/>
        </w:rPr>
        <w:t>、进度计划</w:t>
      </w:r>
      <w:r>
        <w:tab/>
      </w:r>
      <w:r>
        <w:fldChar w:fldCharType="begin"/>
      </w:r>
      <w:r>
        <w:instrText xml:space="preserve"> PAGEREF _Toc6676 \h </w:instrText>
      </w:r>
      <w:r>
        <w:fldChar w:fldCharType="separate"/>
      </w:r>
      <w:r>
        <w:t>16</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_Toc166 </w:instrText>
      </w:r>
      <w:r>
        <w:rPr>
          <w:rFonts w:ascii="新宋体" w:hAnsi="新宋体" w:eastAsia="新宋体" w:cs="新宋体"/>
          <w:kern w:val="0"/>
          <w:szCs w:val="28"/>
          <w:highlight w:val="none"/>
        </w:rPr>
        <w:fldChar w:fldCharType="separate"/>
      </w:r>
      <w:r>
        <w:rPr>
          <w:rFonts w:hint="eastAsia"/>
          <w:highlight w:val="none"/>
          <w:lang w:val="en-US" w:eastAsia="zh-CN"/>
        </w:rPr>
        <w:t>七</w:t>
      </w:r>
      <w:r>
        <w:rPr>
          <w:rFonts w:hint="eastAsia"/>
          <w:highlight w:val="none"/>
        </w:rPr>
        <w:t>、人员设备投入情况</w:t>
      </w:r>
      <w:r>
        <w:tab/>
      </w:r>
      <w:r>
        <w:fldChar w:fldCharType="begin"/>
      </w:r>
      <w:r>
        <w:instrText xml:space="preserve"> PAGEREF _Toc166 \h </w:instrText>
      </w:r>
      <w:r>
        <w:fldChar w:fldCharType="separate"/>
      </w:r>
      <w:r>
        <w:t>17</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_Toc11034 </w:instrText>
      </w:r>
      <w:r>
        <w:rPr>
          <w:rFonts w:ascii="新宋体" w:hAnsi="新宋体" w:eastAsia="新宋体" w:cs="新宋体"/>
          <w:kern w:val="0"/>
          <w:szCs w:val="28"/>
          <w:highlight w:val="none"/>
        </w:rPr>
        <w:fldChar w:fldCharType="separate"/>
      </w:r>
      <w:r>
        <w:rPr>
          <w:rFonts w:hint="eastAsia"/>
          <w:szCs w:val="28"/>
        </w:rPr>
        <w:t xml:space="preserve">第五章 </w:t>
      </w:r>
      <w:r>
        <w:rPr>
          <w:rFonts w:hint="eastAsia"/>
          <w:szCs w:val="28"/>
          <w:highlight w:val="none"/>
        </w:rPr>
        <w:t>树木移植的成活保证技术措施</w:t>
      </w:r>
      <w:r>
        <w:tab/>
      </w:r>
      <w:r>
        <w:fldChar w:fldCharType="begin"/>
      </w:r>
      <w:r>
        <w:instrText xml:space="preserve"> PAGEREF _Toc11034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_Toc20660 </w:instrText>
      </w:r>
      <w:r>
        <w:rPr>
          <w:rFonts w:ascii="新宋体" w:hAnsi="新宋体" w:eastAsia="新宋体" w:cs="新宋体"/>
          <w:kern w:val="0"/>
          <w:szCs w:val="28"/>
          <w:highlight w:val="none"/>
        </w:rPr>
        <w:fldChar w:fldCharType="separate"/>
      </w:r>
      <w:r>
        <w:rPr>
          <w:rFonts w:hint="eastAsia"/>
          <w:highlight w:val="none"/>
        </w:rPr>
        <w:t>一、排水措施</w:t>
      </w:r>
      <w:r>
        <w:tab/>
      </w:r>
      <w:r>
        <w:fldChar w:fldCharType="begin"/>
      </w:r>
      <w:r>
        <w:instrText xml:space="preserve"> PAGEREF _Toc20660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_Toc29367 </w:instrText>
      </w:r>
      <w:r>
        <w:rPr>
          <w:rFonts w:ascii="新宋体" w:hAnsi="新宋体" w:eastAsia="新宋体" w:cs="新宋体"/>
          <w:kern w:val="0"/>
          <w:szCs w:val="28"/>
          <w:highlight w:val="none"/>
        </w:rPr>
        <w:fldChar w:fldCharType="separate"/>
      </w:r>
      <w:r>
        <w:rPr>
          <w:rFonts w:hint="eastAsia"/>
          <w:highlight w:val="none"/>
        </w:rPr>
        <w:t>二、透气措施</w:t>
      </w:r>
      <w:r>
        <w:tab/>
      </w:r>
      <w:r>
        <w:fldChar w:fldCharType="begin"/>
      </w:r>
      <w:r>
        <w:instrText xml:space="preserve"> PAGEREF _Toc29367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_Toc3879 </w:instrText>
      </w:r>
      <w:r>
        <w:rPr>
          <w:rFonts w:ascii="新宋体" w:hAnsi="新宋体" w:eastAsia="新宋体" w:cs="新宋体"/>
          <w:kern w:val="0"/>
          <w:szCs w:val="28"/>
          <w:highlight w:val="none"/>
        </w:rPr>
        <w:fldChar w:fldCharType="separate"/>
      </w:r>
      <w:r>
        <w:rPr>
          <w:rFonts w:hint="eastAsia"/>
          <w:highlight w:val="none"/>
        </w:rPr>
        <w:t>三、生根措施</w:t>
      </w:r>
      <w:r>
        <w:tab/>
      </w:r>
      <w:r>
        <w:fldChar w:fldCharType="begin"/>
      </w:r>
      <w:r>
        <w:instrText xml:space="preserve"> PAGEREF _Toc3879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_Toc16793 </w:instrText>
      </w:r>
      <w:r>
        <w:rPr>
          <w:rFonts w:ascii="新宋体" w:hAnsi="新宋体" w:eastAsia="新宋体" w:cs="新宋体"/>
          <w:kern w:val="0"/>
          <w:szCs w:val="28"/>
          <w:highlight w:val="none"/>
        </w:rPr>
        <w:fldChar w:fldCharType="separate"/>
      </w:r>
      <w:r>
        <w:rPr>
          <w:rFonts w:hint="eastAsia"/>
          <w:highlight w:val="none"/>
        </w:rPr>
        <w:t>四、保水措施</w:t>
      </w:r>
      <w:r>
        <w:tab/>
      </w:r>
      <w:r>
        <w:fldChar w:fldCharType="begin"/>
      </w:r>
      <w:r>
        <w:instrText xml:space="preserve"> PAGEREF _Toc16793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_Toc9582 </w:instrText>
      </w:r>
      <w:r>
        <w:rPr>
          <w:rFonts w:ascii="新宋体" w:hAnsi="新宋体" w:eastAsia="新宋体" w:cs="新宋体"/>
          <w:kern w:val="0"/>
          <w:szCs w:val="28"/>
          <w:highlight w:val="none"/>
        </w:rPr>
        <w:fldChar w:fldCharType="separate"/>
      </w:r>
      <w:r>
        <w:rPr>
          <w:rFonts w:hint="eastAsia"/>
          <w:highlight w:val="none"/>
        </w:rPr>
        <w:t>五、营养液</w:t>
      </w:r>
      <w:r>
        <w:tab/>
      </w:r>
      <w:r>
        <w:fldChar w:fldCharType="begin"/>
      </w:r>
      <w:r>
        <w:instrText xml:space="preserve"> PAGEREF _Toc9582 \h </w:instrText>
      </w:r>
      <w:r>
        <w:fldChar w:fldCharType="separate"/>
      </w:r>
      <w:r>
        <w:t>18</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_Toc4386 </w:instrText>
      </w:r>
      <w:r>
        <w:rPr>
          <w:rFonts w:ascii="新宋体" w:hAnsi="新宋体" w:eastAsia="新宋体" w:cs="新宋体"/>
          <w:kern w:val="0"/>
          <w:szCs w:val="28"/>
          <w:highlight w:val="none"/>
        </w:rPr>
        <w:fldChar w:fldCharType="separate"/>
      </w:r>
      <w:r>
        <w:rPr>
          <w:rFonts w:hint="eastAsia"/>
          <w:szCs w:val="28"/>
        </w:rPr>
        <w:t xml:space="preserve">第六章 </w:t>
      </w:r>
      <w:r>
        <w:rPr>
          <w:rFonts w:hint="eastAsia"/>
          <w:szCs w:val="28"/>
          <w:highlight w:val="none"/>
        </w:rPr>
        <w:t>安全文明施工措施</w:t>
      </w:r>
      <w:r>
        <w:tab/>
      </w:r>
      <w:r>
        <w:fldChar w:fldCharType="begin"/>
      </w:r>
      <w:r>
        <w:instrText xml:space="preserve"> PAGEREF _Toc4386 \h </w:instrText>
      </w:r>
      <w:r>
        <w:fldChar w:fldCharType="separate"/>
      </w:r>
      <w:r>
        <w:t>19</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_Toc11875 </w:instrText>
      </w:r>
      <w:r>
        <w:rPr>
          <w:rFonts w:ascii="新宋体" w:hAnsi="新宋体" w:eastAsia="新宋体" w:cs="新宋体"/>
          <w:kern w:val="0"/>
          <w:szCs w:val="28"/>
          <w:highlight w:val="none"/>
        </w:rPr>
        <w:fldChar w:fldCharType="separate"/>
      </w:r>
      <w:r>
        <w:rPr>
          <w:rFonts w:hint="eastAsia"/>
          <w:highlight w:val="none"/>
        </w:rPr>
        <w:t>一、苗木移植工作施工前的宣传</w:t>
      </w:r>
      <w:r>
        <w:rPr>
          <w:rFonts w:hint="eastAsia"/>
          <w:highlight w:val="none"/>
          <w:lang w:val="en-US" w:eastAsia="zh-CN"/>
        </w:rPr>
        <w:t>及交底</w:t>
      </w:r>
      <w:r>
        <w:rPr>
          <w:rFonts w:hint="eastAsia"/>
          <w:highlight w:val="none"/>
        </w:rPr>
        <w:t>工作</w:t>
      </w:r>
      <w:r>
        <w:tab/>
      </w:r>
      <w:r>
        <w:fldChar w:fldCharType="begin"/>
      </w:r>
      <w:r>
        <w:instrText xml:space="preserve"> PAGEREF _Toc11875 \h </w:instrText>
      </w:r>
      <w:r>
        <w:fldChar w:fldCharType="separate"/>
      </w:r>
      <w:r>
        <w:t>19</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_Toc949 </w:instrText>
      </w:r>
      <w:r>
        <w:rPr>
          <w:rFonts w:ascii="新宋体" w:hAnsi="新宋体" w:eastAsia="新宋体" w:cs="新宋体"/>
          <w:kern w:val="0"/>
          <w:szCs w:val="28"/>
          <w:highlight w:val="none"/>
        </w:rPr>
        <w:fldChar w:fldCharType="separate"/>
      </w:r>
      <w:r>
        <w:rPr>
          <w:rFonts w:hint="eastAsia"/>
          <w:highlight w:val="none"/>
        </w:rPr>
        <w:t>二、交通维护措施</w:t>
      </w:r>
      <w:r>
        <w:tab/>
      </w:r>
      <w:r>
        <w:fldChar w:fldCharType="begin"/>
      </w:r>
      <w:r>
        <w:instrText xml:space="preserve"> PAGEREF _Toc949 \h </w:instrText>
      </w:r>
      <w:r>
        <w:fldChar w:fldCharType="separate"/>
      </w:r>
      <w:r>
        <w:t>19</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_Toc20973 </w:instrText>
      </w:r>
      <w:r>
        <w:rPr>
          <w:rFonts w:ascii="新宋体" w:hAnsi="新宋体" w:eastAsia="新宋体" w:cs="新宋体"/>
          <w:kern w:val="0"/>
          <w:szCs w:val="28"/>
          <w:highlight w:val="none"/>
        </w:rPr>
        <w:fldChar w:fldCharType="separate"/>
      </w:r>
      <w:r>
        <w:rPr>
          <w:rFonts w:hint="eastAsia"/>
          <w:highlight w:val="none"/>
        </w:rPr>
        <w:t>二、苗木移植时的安全措施</w:t>
      </w:r>
      <w:r>
        <w:tab/>
      </w:r>
      <w:r>
        <w:fldChar w:fldCharType="begin"/>
      </w:r>
      <w:r>
        <w:instrText xml:space="preserve"> PAGEREF _Toc20973 \h </w:instrText>
      </w:r>
      <w:r>
        <w:fldChar w:fldCharType="separate"/>
      </w:r>
      <w:r>
        <w:t>19</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_Toc15472 </w:instrText>
      </w:r>
      <w:r>
        <w:rPr>
          <w:rFonts w:ascii="新宋体" w:hAnsi="新宋体" w:eastAsia="新宋体" w:cs="新宋体"/>
          <w:kern w:val="0"/>
          <w:szCs w:val="28"/>
          <w:highlight w:val="none"/>
        </w:rPr>
        <w:fldChar w:fldCharType="separate"/>
      </w:r>
      <w:r>
        <w:rPr>
          <w:rFonts w:hint="eastAsia"/>
          <w:highlight w:val="none"/>
        </w:rPr>
        <w:t>三、园林树木修剪时的安全措施</w:t>
      </w:r>
      <w:r>
        <w:tab/>
      </w:r>
      <w:r>
        <w:fldChar w:fldCharType="begin"/>
      </w:r>
      <w:r>
        <w:instrText xml:space="preserve"> PAGEREF _Toc15472 \h </w:instrText>
      </w:r>
      <w:r>
        <w:fldChar w:fldCharType="separate"/>
      </w:r>
      <w:r>
        <w:t>20</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_Toc32339 </w:instrText>
      </w:r>
      <w:r>
        <w:rPr>
          <w:rFonts w:ascii="新宋体" w:hAnsi="新宋体" w:eastAsia="新宋体" w:cs="新宋体"/>
          <w:kern w:val="0"/>
          <w:szCs w:val="28"/>
          <w:highlight w:val="none"/>
        </w:rPr>
        <w:fldChar w:fldCharType="separate"/>
      </w:r>
      <w:r>
        <w:rPr>
          <w:rFonts w:hint="eastAsia"/>
          <w:highlight w:val="none"/>
        </w:rPr>
        <w:t>四、施工场地安全文明措施</w:t>
      </w:r>
      <w:r>
        <w:tab/>
      </w:r>
      <w:r>
        <w:fldChar w:fldCharType="begin"/>
      </w:r>
      <w:r>
        <w:instrText xml:space="preserve"> PAGEREF _Toc32339 \h </w:instrText>
      </w:r>
      <w:r>
        <w:fldChar w:fldCharType="separate"/>
      </w:r>
      <w:r>
        <w:t>21</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_Toc29074 </w:instrText>
      </w:r>
      <w:r>
        <w:rPr>
          <w:rFonts w:ascii="新宋体" w:hAnsi="新宋体" w:eastAsia="新宋体" w:cs="新宋体"/>
          <w:kern w:val="0"/>
          <w:szCs w:val="28"/>
          <w:highlight w:val="none"/>
        </w:rPr>
        <w:fldChar w:fldCharType="separate"/>
      </w:r>
      <w:r>
        <w:rPr>
          <w:rFonts w:hint="eastAsia"/>
          <w:szCs w:val="28"/>
        </w:rPr>
        <w:t xml:space="preserve">第七章 </w:t>
      </w:r>
      <w:r>
        <w:rPr>
          <w:rFonts w:hint="eastAsia"/>
          <w:szCs w:val="28"/>
          <w:highlight w:val="none"/>
        </w:rPr>
        <w:t>交通疏导及占道施工方案</w:t>
      </w:r>
      <w:r>
        <w:tab/>
      </w:r>
      <w:r>
        <w:fldChar w:fldCharType="begin"/>
      </w:r>
      <w:r>
        <w:instrText xml:space="preserve"> PAGEREF _Toc29074 \h </w:instrText>
      </w:r>
      <w:r>
        <w:fldChar w:fldCharType="separate"/>
      </w:r>
      <w:r>
        <w:t>22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_Toc30096 </w:instrText>
      </w:r>
      <w:r>
        <w:rPr>
          <w:rFonts w:ascii="新宋体" w:hAnsi="新宋体" w:eastAsia="新宋体" w:cs="新宋体"/>
          <w:kern w:val="0"/>
          <w:szCs w:val="28"/>
          <w:highlight w:val="none"/>
        </w:rPr>
        <w:fldChar w:fldCharType="separate"/>
      </w:r>
      <w:r>
        <w:rPr>
          <w:rFonts w:hint="eastAsia"/>
          <w:highlight w:val="none"/>
        </w:rPr>
        <w:t>一、总体原则</w:t>
      </w:r>
      <w:r>
        <w:tab/>
      </w:r>
      <w:r>
        <w:fldChar w:fldCharType="begin"/>
      </w:r>
      <w:r>
        <w:instrText xml:space="preserve"> PAGEREF _Toc30096 \h </w:instrText>
      </w:r>
      <w:r>
        <w:fldChar w:fldCharType="separate"/>
      </w:r>
      <w:r>
        <w:t>22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_Toc30487 </w:instrText>
      </w:r>
      <w:r>
        <w:rPr>
          <w:rFonts w:ascii="新宋体" w:hAnsi="新宋体" w:eastAsia="新宋体" w:cs="新宋体"/>
          <w:kern w:val="0"/>
          <w:szCs w:val="28"/>
          <w:highlight w:val="none"/>
        </w:rPr>
        <w:fldChar w:fldCharType="separate"/>
      </w:r>
      <w:r>
        <w:rPr>
          <w:rFonts w:hint="eastAsia"/>
          <w:highlight w:val="none"/>
        </w:rPr>
        <w:t>二、交通组织</w:t>
      </w:r>
      <w:r>
        <w:tab/>
      </w:r>
      <w:r>
        <w:fldChar w:fldCharType="begin"/>
      </w:r>
      <w:r>
        <w:instrText xml:space="preserve"> PAGEREF _Toc30487 \h </w:instrText>
      </w:r>
      <w:r>
        <w:fldChar w:fldCharType="separate"/>
      </w:r>
      <w:r>
        <w:t>22</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_Toc5613 </w:instrText>
      </w:r>
      <w:r>
        <w:rPr>
          <w:rFonts w:ascii="新宋体" w:hAnsi="新宋体" w:eastAsia="新宋体" w:cs="新宋体"/>
          <w:kern w:val="0"/>
          <w:szCs w:val="28"/>
          <w:highlight w:val="none"/>
        </w:rPr>
        <w:fldChar w:fldCharType="separate"/>
      </w:r>
      <w:r>
        <w:rPr>
          <w:rFonts w:hint="eastAsia"/>
          <w:highlight w:val="none"/>
        </w:rPr>
        <w:t>三、交通疏导安全措施</w:t>
      </w:r>
      <w:r>
        <w:tab/>
      </w:r>
      <w:r>
        <w:fldChar w:fldCharType="begin"/>
      </w:r>
      <w:r>
        <w:instrText xml:space="preserve"> PAGEREF _Toc5613 \h </w:instrText>
      </w:r>
      <w:r>
        <w:fldChar w:fldCharType="separate"/>
      </w:r>
      <w:r>
        <w:t>23</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_Toc11102 </w:instrText>
      </w:r>
      <w:r>
        <w:rPr>
          <w:rFonts w:ascii="新宋体" w:hAnsi="新宋体" w:eastAsia="新宋体" w:cs="新宋体"/>
          <w:kern w:val="0"/>
          <w:szCs w:val="28"/>
          <w:highlight w:val="none"/>
        </w:rPr>
        <w:fldChar w:fldCharType="separate"/>
      </w:r>
      <w:r>
        <w:rPr>
          <w:rFonts w:hint="eastAsia"/>
          <w:szCs w:val="28"/>
        </w:rPr>
        <w:t xml:space="preserve">第八章 </w:t>
      </w:r>
      <w:r>
        <w:rPr>
          <w:rFonts w:hint="eastAsia"/>
          <w:szCs w:val="28"/>
          <w:highlight w:val="none"/>
        </w:rPr>
        <w:t>树木养护方案</w:t>
      </w:r>
      <w:r>
        <w:tab/>
      </w:r>
      <w:r>
        <w:fldChar w:fldCharType="begin"/>
      </w:r>
      <w:r>
        <w:instrText xml:space="preserve"> PAGEREF _Toc11102 \h </w:instrText>
      </w:r>
      <w:r>
        <w:fldChar w:fldCharType="separate"/>
      </w:r>
      <w:r>
        <w:t>25</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_Toc16542 </w:instrText>
      </w:r>
      <w:r>
        <w:rPr>
          <w:rFonts w:ascii="新宋体" w:hAnsi="新宋体" w:eastAsia="新宋体" w:cs="新宋体"/>
          <w:kern w:val="0"/>
          <w:szCs w:val="28"/>
          <w:highlight w:val="none"/>
        </w:rPr>
        <w:fldChar w:fldCharType="separate"/>
      </w:r>
      <w:r>
        <w:rPr>
          <w:rFonts w:hint="eastAsia"/>
          <w:highlight w:val="none"/>
        </w:rPr>
        <w:t>一、保持树体水分代谢平衡</w:t>
      </w:r>
      <w:r>
        <w:tab/>
      </w:r>
      <w:r>
        <w:fldChar w:fldCharType="begin"/>
      </w:r>
      <w:r>
        <w:instrText xml:space="preserve"> PAGEREF _Toc16542 \h </w:instrText>
      </w:r>
      <w:r>
        <w:fldChar w:fldCharType="separate"/>
      </w:r>
      <w:r>
        <w:t>25</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_Toc15826 </w:instrText>
      </w:r>
      <w:r>
        <w:rPr>
          <w:rFonts w:ascii="新宋体" w:hAnsi="新宋体" w:eastAsia="新宋体" w:cs="新宋体"/>
          <w:kern w:val="0"/>
          <w:szCs w:val="28"/>
          <w:highlight w:val="none"/>
        </w:rPr>
        <w:fldChar w:fldCharType="separate"/>
      </w:r>
      <w:r>
        <w:rPr>
          <w:rFonts w:hint="eastAsia"/>
          <w:highlight w:val="none"/>
        </w:rPr>
        <w:t>二、促发新根</w:t>
      </w:r>
      <w:r>
        <w:tab/>
      </w:r>
      <w:r>
        <w:fldChar w:fldCharType="begin"/>
      </w:r>
      <w:r>
        <w:instrText xml:space="preserve"> PAGEREF _Toc15826 \h </w:instrText>
      </w:r>
      <w:r>
        <w:fldChar w:fldCharType="separate"/>
      </w:r>
      <w:r>
        <w:t>25</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_Toc5704 </w:instrText>
      </w:r>
      <w:r>
        <w:rPr>
          <w:rFonts w:ascii="新宋体" w:hAnsi="新宋体" w:eastAsia="新宋体" w:cs="新宋体"/>
          <w:kern w:val="0"/>
          <w:szCs w:val="28"/>
          <w:highlight w:val="none"/>
        </w:rPr>
        <w:fldChar w:fldCharType="separate"/>
      </w:r>
      <w:r>
        <w:rPr>
          <w:rFonts w:hint="eastAsia"/>
          <w:highlight w:val="none"/>
        </w:rPr>
        <w:t>三、保护新芽</w:t>
      </w:r>
      <w:r>
        <w:tab/>
      </w:r>
      <w:r>
        <w:fldChar w:fldCharType="begin"/>
      </w:r>
      <w:r>
        <w:instrText xml:space="preserve"> PAGEREF _Toc5704 \h </w:instrText>
      </w:r>
      <w:r>
        <w:fldChar w:fldCharType="separate"/>
      </w:r>
      <w:r>
        <w:t>26</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_Toc18404 </w:instrText>
      </w:r>
      <w:r>
        <w:rPr>
          <w:rFonts w:ascii="新宋体" w:hAnsi="新宋体" w:eastAsia="新宋体" w:cs="新宋体"/>
          <w:kern w:val="0"/>
          <w:szCs w:val="28"/>
          <w:highlight w:val="none"/>
        </w:rPr>
        <w:fldChar w:fldCharType="separate"/>
      </w:r>
      <w:r>
        <w:rPr>
          <w:rFonts w:hint="eastAsia"/>
          <w:highlight w:val="none"/>
        </w:rPr>
        <w:t>四、树体保护</w:t>
      </w:r>
      <w:r>
        <w:tab/>
      </w:r>
      <w:r>
        <w:fldChar w:fldCharType="begin"/>
      </w:r>
      <w:r>
        <w:instrText xml:space="preserve"> PAGEREF _Toc18404 \h </w:instrText>
      </w:r>
      <w:r>
        <w:fldChar w:fldCharType="separate"/>
      </w:r>
      <w:r>
        <w:t>26</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_Toc16521 </w:instrText>
      </w:r>
      <w:r>
        <w:rPr>
          <w:rFonts w:ascii="新宋体" w:hAnsi="新宋体" w:eastAsia="新宋体" w:cs="新宋体"/>
          <w:kern w:val="0"/>
          <w:szCs w:val="28"/>
          <w:highlight w:val="none"/>
        </w:rPr>
        <w:fldChar w:fldCharType="separate"/>
      </w:r>
      <w:r>
        <w:rPr>
          <w:rFonts w:hint="eastAsia"/>
          <w:highlight w:val="none"/>
        </w:rPr>
        <w:t>五、防病治虫</w:t>
      </w:r>
      <w:r>
        <w:tab/>
      </w:r>
      <w:r>
        <w:fldChar w:fldCharType="begin"/>
      </w:r>
      <w:r>
        <w:instrText xml:space="preserve"> PAGEREF _Toc16521 \h </w:instrText>
      </w:r>
      <w:r>
        <w:fldChar w:fldCharType="separate"/>
      </w:r>
      <w:r>
        <w:t>26</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_Toc13023 </w:instrText>
      </w:r>
      <w:r>
        <w:rPr>
          <w:rFonts w:ascii="新宋体" w:hAnsi="新宋体" w:eastAsia="新宋体" w:cs="新宋体"/>
          <w:kern w:val="0"/>
          <w:szCs w:val="28"/>
          <w:highlight w:val="none"/>
        </w:rPr>
        <w:fldChar w:fldCharType="separate"/>
      </w:r>
      <w:r>
        <w:rPr>
          <w:rFonts w:hint="eastAsia"/>
          <w:highlight w:val="none"/>
        </w:rPr>
        <w:t>六、施肥</w:t>
      </w:r>
      <w:r>
        <w:tab/>
      </w:r>
      <w:r>
        <w:fldChar w:fldCharType="begin"/>
      </w:r>
      <w:r>
        <w:instrText xml:space="preserve"> PAGEREF _Toc13023 \h </w:instrText>
      </w:r>
      <w:r>
        <w:fldChar w:fldCharType="separate"/>
      </w:r>
      <w:r>
        <w:t>27</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_Toc31070 </w:instrText>
      </w:r>
      <w:r>
        <w:rPr>
          <w:rFonts w:ascii="新宋体" w:hAnsi="新宋体" w:eastAsia="新宋体" w:cs="新宋体"/>
          <w:kern w:val="0"/>
          <w:szCs w:val="28"/>
          <w:highlight w:val="none"/>
        </w:rPr>
        <w:fldChar w:fldCharType="separate"/>
      </w:r>
      <w:r>
        <w:rPr>
          <w:rFonts w:hint="eastAsia"/>
          <w:szCs w:val="28"/>
        </w:rPr>
        <w:t xml:space="preserve">第九章 </w:t>
      </w:r>
      <w:r>
        <w:rPr>
          <w:rFonts w:hint="eastAsia"/>
          <w:szCs w:val="28"/>
          <w:highlight w:val="none"/>
        </w:rPr>
        <w:t>路灯方案</w:t>
      </w:r>
      <w:r>
        <w:tab/>
      </w:r>
      <w:r>
        <w:fldChar w:fldCharType="begin"/>
      </w:r>
      <w:r>
        <w:instrText xml:space="preserve"> PAGEREF _Toc31070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_Toc16751 </w:instrText>
      </w:r>
      <w:r>
        <w:rPr>
          <w:rFonts w:ascii="新宋体" w:hAnsi="新宋体" w:eastAsia="新宋体" w:cs="新宋体"/>
          <w:kern w:val="0"/>
          <w:szCs w:val="28"/>
          <w:highlight w:val="none"/>
        </w:rPr>
        <w:fldChar w:fldCharType="separate"/>
      </w:r>
      <w:r>
        <w:rPr>
          <w:rFonts w:hint="eastAsia"/>
          <w:highlight w:val="none"/>
        </w:rPr>
        <w:t>一、施工准备</w:t>
      </w:r>
      <w:r>
        <w:tab/>
      </w:r>
      <w:r>
        <w:fldChar w:fldCharType="begin"/>
      </w:r>
      <w:r>
        <w:instrText xml:space="preserve"> PAGEREF _Toc16751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_Toc2411 </w:instrText>
      </w:r>
      <w:r>
        <w:rPr>
          <w:rFonts w:ascii="新宋体" w:hAnsi="新宋体" w:eastAsia="新宋体" w:cs="新宋体"/>
          <w:kern w:val="0"/>
          <w:szCs w:val="28"/>
          <w:highlight w:val="none"/>
        </w:rPr>
        <w:fldChar w:fldCharType="separate"/>
      </w:r>
      <w:r>
        <w:rPr>
          <w:rFonts w:hint="eastAsia"/>
          <w:highlight w:val="none"/>
        </w:rPr>
        <w:t>二、路灯拆除</w:t>
      </w:r>
      <w:r>
        <w:tab/>
      </w:r>
      <w:r>
        <w:fldChar w:fldCharType="begin"/>
      </w:r>
      <w:r>
        <w:instrText xml:space="preserve"> PAGEREF _Toc2411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_Toc7644 </w:instrText>
      </w:r>
      <w:r>
        <w:rPr>
          <w:rFonts w:ascii="新宋体" w:hAnsi="新宋体" w:eastAsia="新宋体" w:cs="新宋体"/>
          <w:kern w:val="0"/>
          <w:szCs w:val="28"/>
          <w:highlight w:val="none"/>
        </w:rPr>
        <w:fldChar w:fldCharType="separate"/>
      </w:r>
      <w:r>
        <w:rPr>
          <w:rFonts w:hint="eastAsia"/>
          <w:highlight w:val="none"/>
        </w:rPr>
        <w:t>三、整理包装</w:t>
      </w:r>
      <w:r>
        <w:tab/>
      </w:r>
      <w:r>
        <w:fldChar w:fldCharType="begin"/>
      </w:r>
      <w:r>
        <w:instrText xml:space="preserve"> PAGEREF _Toc7644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_Toc29835 </w:instrText>
      </w:r>
      <w:r>
        <w:rPr>
          <w:rFonts w:ascii="新宋体" w:hAnsi="新宋体" w:eastAsia="新宋体" w:cs="新宋体"/>
          <w:kern w:val="0"/>
          <w:szCs w:val="28"/>
          <w:highlight w:val="none"/>
        </w:rPr>
        <w:fldChar w:fldCharType="separate"/>
      </w:r>
      <w:r>
        <w:rPr>
          <w:rFonts w:hint="eastAsia"/>
          <w:highlight w:val="none"/>
        </w:rPr>
        <w:t>四、移交</w:t>
      </w:r>
      <w:r>
        <w:tab/>
      </w:r>
      <w:r>
        <w:fldChar w:fldCharType="begin"/>
      </w:r>
      <w:r>
        <w:instrText xml:space="preserve"> PAGEREF _Toc29835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_Toc26854 </w:instrText>
      </w:r>
      <w:r>
        <w:rPr>
          <w:rFonts w:ascii="新宋体" w:hAnsi="新宋体" w:eastAsia="新宋体" w:cs="新宋体"/>
          <w:kern w:val="0"/>
          <w:szCs w:val="28"/>
          <w:highlight w:val="none"/>
        </w:rPr>
        <w:fldChar w:fldCharType="separate"/>
      </w:r>
      <w:r>
        <w:rPr>
          <w:rFonts w:hint="eastAsia"/>
          <w:highlight w:val="none"/>
        </w:rPr>
        <w:t>五、灯具、灯杆保护措施</w:t>
      </w:r>
      <w:r>
        <w:tab/>
      </w:r>
      <w:r>
        <w:fldChar w:fldCharType="begin"/>
      </w:r>
      <w:r>
        <w:instrText xml:space="preserve"> PAGEREF _Toc26854 \h </w:instrText>
      </w:r>
      <w:r>
        <w:fldChar w:fldCharType="separate"/>
      </w:r>
      <w:r>
        <w:t>28</w:t>
      </w:r>
      <w:r>
        <w:fldChar w:fldCharType="end"/>
      </w:r>
      <w:r>
        <w:rPr>
          <w:rFonts w:ascii="新宋体" w:hAnsi="新宋体" w:eastAsia="新宋体" w:cs="新宋体"/>
          <w:color w:val="000000"/>
          <w:kern w:val="0"/>
          <w:szCs w:val="28"/>
          <w:highlight w:val="none"/>
        </w:rPr>
        <w:fldChar w:fldCharType="end"/>
      </w:r>
    </w:p>
    <w:p>
      <w:pPr>
        <w:pStyle w:val="15"/>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_Toc17739 </w:instrText>
      </w:r>
      <w:r>
        <w:rPr>
          <w:rFonts w:ascii="新宋体" w:hAnsi="新宋体" w:eastAsia="新宋体" w:cs="新宋体"/>
          <w:kern w:val="0"/>
          <w:szCs w:val="28"/>
          <w:highlight w:val="none"/>
        </w:rPr>
        <w:fldChar w:fldCharType="separate"/>
      </w:r>
      <w:r>
        <w:rPr>
          <w:rFonts w:hint="eastAsia"/>
          <w:szCs w:val="28"/>
        </w:rPr>
        <w:t xml:space="preserve">第十章 </w:t>
      </w:r>
      <w:r>
        <w:rPr>
          <w:rFonts w:hint="eastAsia"/>
          <w:szCs w:val="28"/>
          <w:highlight w:val="none"/>
        </w:rPr>
        <w:t>安全应急预案及措施</w:t>
      </w:r>
      <w:r>
        <w:tab/>
      </w:r>
      <w:r>
        <w:fldChar w:fldCharType="begin"/>
      </w:r>
      <w:r>
        <w:instrText xml:space="preserve"> PAGEREF _Toc17739 \h </w:instrText>
      </w:r>
      <w:r>
        <w:fldChar w:fldCharType="separate"/>
      </w:r>
      <w:r>
        <w:t>30</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_Toc23470 </w:instrText>
      </w:r>
      <w:r>
        <w:rPr>
          <w:rFonts w:ascii="新宋体" w:hAnsi="新宋体" w:eastAsia="新宋体" w:cs="新宋体"/>
          <w:kern w:val="0"/>
          <w:szCs w:val="28"/>
          <w:highlight w:val="none"/>
        </w:rPr>
        <w:fldChar w:fldCharType="separate"/>
      </w:r>
      <w:r>
        <w:rPr>
          <w:rFonts w:hint="eastAsia"/>
          <w:highlight w:val="none"/>
        </w:rPr>
        <w:t>一、应急救援指挥机构</w:t>
      </w:r>
      <w:r>
        <w:tab/>
      </w:r>
      <w:r>
        <w:fldChar w:fldCharType="begin"/>
      </w:r>
      <w:r>
        <w:instrText xml:space="preserve"> PAGEREF _Toc23470 \h </w:instrText>
      </w:r>
      <w:r>
        <w:fldChar w:fldCharType="separate"/>
      </w:r>
      <w:r>
        <w:t>30</w:t>
      </w:r>
      <w:r>
        <w:fldChar w:fldCharType="end"/>
      </w:r>
      <w:r>
        <w:rPr>
          <w:rFonts w:ascii="新宋体" w:hAnsi="新宋体" w:eastAsia="新宋体" w:cs="新宋体"/>
          <w:color w:val="000000"/>
          <w:kern w:val="0"/>
          <w:szCs w:val="28"/>
          <w:highlight w:val="none"/>
        </w:rPr>
        <w:fldChar w:fldCharType="end"/>
      </w:r>
    </w:p>
    <w:p>
      <w:pPr>
        <w:pStyle w:val="16"/>
        <w:tabs>
          <w:tab w:val="right" w:leader="dot" w:pos="9020"/>
        </w:tabs>
      </w:pPr>
      <w:r>
        <w:rPr>
          <w:rFonts w:ascii="新宋体" w:hAnsi="新宋体" w:eastAsia="新宋体" w:cs="新宋体"/>
          <w:color w:val="000000"/>
          <w:kern w:val="0"/>
          <w:szCs w:val="28"/>
          <w:highlight w:val="none"/>
        </w:rPr>
        <w:fldChar w:fldCharType="begin"/>
      </w:r>
      <w:r>
        <w:rPr>
          <w:rFonts w:ascii="新宋体" w:hAnsi="新宋体" w:eastAsia="新宋体" w:cs="新宋体"/>
          <w:kern w:val="0"/>
          <w:szCs w:val="28"/>
          <w:highlight w:val="none"/>
        </w:rPr>
        <w:instrText xml:space="preserve"> HYPERLINK \l _Toc19970 </w:instrText>
      </w:r>
      <w:r>
        <w:rPr>
          <w:rFonts w:ascii="新宋体" w:hAnsi="新宋体" w:eastAsia="新宋体" w:cs="新宋体"/>
          <w:kern w:val="0"/>
          <w:szCs w:val="28"/>
          <w:highlight w:val="none"/>
        </w:rPr>
        <w:fldChar w:fldCharType="separate"/>
      </w:r>
      <w:r>
        <w:rPr>
          <w:rFonts w:hint="eastAsia"/>
          <w:highlight w:val="none"/>
        </w:rPr>
        <w:t>二、应急处置措施</w:t>
      </w:r>
      <w:r>
        <w:tab/>
      </w:r>
      <w:r>
        <w:fldChar w:fldCharType="begin"/>
      </w:r>
      <w:r>
        <w:instrText xml:space="preserve"> PAGEREF _Toc19970 \h </w:instrText>
      </w:r>
      <w:r>
        <w:fldChar w:fldCharType="separate"/>
      </w:r>
      <w:r>
        <w:t>31</w:t>
      </w:r>
      <w:r>
        <w:fldChar w:fldCharType="end"/>
      </w:r>
      <w:r>
        <w:rPr>
          <w:rFonts w:ascii="新宋体" w:hAnsi="新宋体" w:eastAsia="新宋体" w:cs="新宋体"/>
          <w:color w:val="000000"/>
          <w:kern w:val="0"/>
          <w:szCs w:val="28"/>
          <w:highlight w:val="none"/>
        </w:rPr>
        <w:fldChar w:fldCharType="end"/>
      </w:r>
    </w:p>
    <w:p>
      <w:pPr>
        <w:widowControl/>
        <w:jc w:val="left"/>
        <w:rPr>
          <w:highlight w:val="none"/>
        </w:rPr>
      </w:pPr>
      <w:r>
        <w:rPr>
          <w:rFonts w:ascii="新宋体" w:hAnsi="新宋体" w:eastAsia="新宋体" w:cs="新宋体"/>
          <w:color w:val="000000"/>
          <w:kern w:val="0"/>
          <w:szCs w:val="28"/>
          <w:highlight w:val="none"/>
        </w:rPr>
        <w:fldChar w:fldCharType="end"/>
      </w:r>
    </w:p>
    <w:p>
      <w:pPr>
        <w:ind w:firstLine="480"/>
        <w:rPr>
          <w:highlight w:val="none"/>
        </w:rPr>
      </w:pPr>
    </w:p>
    <w:p>
      <w:pPr>
        <w:spacing w:line="300" w:lineRule="auto"/>
        <w:ind w:firstLine="480"/>
        <w:rPr>
          <w:highlight w:val="none"/>
        </w:rPr>
        <w:sectPr>
          <w:footerReference r:id="rId6" w:type="default"/>
          <w:pgSz w:w="11906" w:h="16838"/>
          <w:pgMar w:top="620" w:right="1286" w:bottom="678" w:left="1600" w:header="851" w:footer="992" w:gutter="0"/>
          <w:pgNumType w:start="1"/>
          <w:cols w:space="425" w:num="1"/>
          <w:docGrid w:type="lines" w:linePitch="312" w:charSpace="0"/>
        </w:sectPr>
      </w:pPr>
    </w:p>
    <w:p>
      <w:pPr>
        <w:pStyle w:val="3"/>
        <w:numPr>
          <w:ilvl w:val="0"/>
          <w:numId w:val="1"/>
        </w:numPr>
        <w:spacing w:before="0" w:after="200" w:line="480" w:lineRule="auto"/>
        <w:ind w:firstLine="562"/>
        <w:jc w:val="center"/>
        <w:rPr>
          <w:sz w:val="28"/>
          <w:szCs w:val="28"/>
          <w:highlight w:val="none"/>
        </w:rPr>
      </w:pPr>
      <w:bookmarkStart w:id="0" w:name="_Toc702"/>
      <w:r>
        <w:rPr>
          <w:rFonts w:hint="eastAsia"/>
          <w:sz w:val="28"/>
          <w:szCs w:val="28"/>
          <w:highlight w:val="none"/>
        </w:rPr>
        <w:t>工程概况</w:t>
      </w:r>
      <w:bookmarkEnd w:id="0"/>
    </w:p>
    <w:p>
      <w:pPr>
        <w:pStyle w:val="4"/>
        <w:rPr>
          <w:highlight w:val="none"/>
        </w:rPr>
      </w:pPr>
      <w:bookmarkStart w:id="1" w:name="_Toc2993"/>
      <w:r>
        <w:rPr>
          <w:rFonts w:hint="eastAsia"/>
          <w:highlight w:val="none"/>
        </w:rPr>
        <w:t>一、项目简介</w:t>
      </w:r>
      <w:bookmarkEnd w:id="1"/>
    </w:p>
    <w:p>
      <w:pPr>
        <w:widowControl/>
        <w:ind w:firstLine="480"/>
        <w:jc w:val="left"/>
        <w:rPr>
          <w:rFonts w:ascii="宋体" w:hAnsi="宋体" w:cs="宋体"/>
          <w:highlight w:val="none"/>
        </w:rPr>
      </w:pPr>
      <w:r>
        <w:rPr>
          <w:rFonts w:hint="eastAsia" w:ascii="宋体" w:hAnsi="宋体" w:cs="宋体"/>
          <w:highlight w:val="none"/>
        </w:rPr>
        <w:t>建设单位：廉江市水务投资有限公司</w:t>
      </w:r>
    </w:p>
    <w:p>
      <w:pPr>
        <w:widowControl/>
        <w:ind w:firstLine="480"/>
        <w:jc w:val="left"/>
        <w:rPr>
          <w:rFonts w:ascii="宋体" w:hAnsi="宋体" w:cs="宋体"/>
          <w:highlight w:val="none"/>
        </w:rPr>
      </w:pPr>
      <w:r>
        <w:rPr>
          <w:rFonts w:hint="eastAsia" w:ascii="宋体" w:hAnsi="宋体" w:cs="宋体"/>
          <w:highlight w:val="none"/>
        </w:rPr>
        <w:t>监理单位：广东宏茂建设管理有限公司</w:t>
      </w:r>
    </w:p>
    <w:p>
      <w:pPr>
        <w:widowControl/>
        <w:ind w:firstLine="480"/>
        <w:jc w:val="left"/>
        <w:rPr>
          <w:rFonts w:ascii="宋体" w:hAnsi="宋体" w:cs="宋体"/>
          <w:highlight w:val="none"/>
        </w:rPr>
      </w:pPr>
      <w:r>
        <w:rPr>
          <w:rFonts w:hint="eastAsia" w:ascii="宋体" w:hAnsi="宋体" w:cs="宋体"/>
          <w:highlight w:val="none"/>
        </w:rPr>
        <w:t>设计单位：中水珠江规划勘测设计有限公司（新村电站片项目（一期））</w:t>
      </w:r>
    </w:p>
    <w:p>
      <w:pPr>
        <w:widowControl/>
        <w:ind w:firstLine="480"/>
        <w:jc w:val="left"/>
        <w:rPr>
          <w:rFonts w:ascii="宋体" w:hAnsi="宋体" w:cs="宋体"/>
          <w:highlight w:val="none"/>
        </w:rPr>
      </w:pPr>
      <w:r>
        <w:rPr>
          <w:rFonts w:hint="eastAsia" w:ascii="宋体" w:hAnsi="宋体" w:cs="宋体"/>
          <w:highlight w:val="none"/>
        </w:rPr>
        <w:t>监督单位：湛江市水利水电工程质量管理站</w:t>
      </w:r>
    </w:p>
    <w:p>
      <w:pPr>
        <w:widowControl/>
        <w:ind w:firstLine="480"/>
        <w:jc w:val="left"/>
        <w:rPr>
          <w:rFonts w:ascii="宋体" w:hAnsi="宋体" w:cs="宋体"/>
          <w:highlight w:val="none"/>
        </w:rPr>
      </w:pPr>
      <w:r>
        <w:rPr>
          <w:rFonts w:hint="eastAsia" w:ascii="宋体" w:hAnsi="宋体" w:cs="宋体"/>
          <w:highlight w:val="none"/>
        </w:rPr>
        <w:t>施工单位：中交第四航务工程局有限公司</w:t>
      </w:r>
    </w:p>
    <w:p>
      <w:pPr>
        <w:pStyle w:val="4"/>
        <w:rPr>
          <w:highlight w:val="none"/>
        </w:rPr>
      </w:pPr>
      <w:bookmarkStart w:id="2" w:name="_Toc12577"/>
      <w:r>
        <w:rPr>
          <w:rFonts w:hint="eastAsia"/>
          <w:highlight w:val="none"/>
        </w:rPr>
        <w:t>二、工程概括</w:t>
      </w:r>
      <w:bookmarkEnd w:id="2"/>
    </w:p>
    <w:p>
      <w:pPr>
        <w:ind w:firstLine="480"/>
        <w:rPr>
          <w:highlight w:val="none"/>
        </w:rPr>
      </w:pPr>
      <w:r>
        <w:rPr>
          <w:rFonts w:hint="eastAsia"/>
          <w:highlight w:val="none"/>
        </w:rPr>
        <w:t xml:space="preserve">廉江河综合治理工程新村电站片项目（一期）治理范围为廉江河自青年运河至北部湾大道河段，河道治理长度共计16.92km。通过“水安全”、“水环境”、“水生态”、“水综合利用”四个方面对廉江河进行综合治理。经治理后河道防护标准将由30年一遇提高到50年一遇，有效避免河道两岸地区洪涝灾害损失，降低廉江市受灾风险，更好保障人民生命财产安全，打造一条服务宜居生活、遵循生态设计、挖掘城市精神，营造“人-水-城”相依相伴、和谐共生的城市绿道走廊。          </w:t>
      </w:r>
    </w:p>
    <w:p>
      <w:pPr>
        <w:pStyle w:val="17"/>
        <w:ind w:firstLine="0" w:firstLineChars="0"/>
        <w:jc w:val="center"/>
        <w:rPr>
          <w:highlight w:val="none"/>
        </w:rPr>
      </w:pPr>
      <w:r>
        <w:rPr>
          <w:highlight w:val="none"/>
        </w:rPr>
        <w:drawing>
          <wp:inline distT="0" distB="0" distL="114300" distR="114300">
            <wp:extent cx="5360035" cy="3686175"/>
            <wp:effectExtent l="0" t="0" r="1206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cstate="print"/>
                    <a:stretch>
                      <a:fillRect/>
                    </a:stretch>
                  </pic:blipFill>
                  <pic:spPr>
                    <a:xfrm>
                      <a:off x="0" y="0"/>
                      <a:ext cx="5357460" cy="3684337"/>
                    </a:xfrm>
                    <a:prstGeom prst="rect">
                      <a:avLst/>
                    </a:prstGeom>
                    <a:noFill/>
                    <a:ln>
                      <a:noFill/>
                    </a:ln>
                  </pic:spPr>
                </pic:pic>
              </a:graphicData>
            </a:graphic>
          </wp:inline>
        </w:drawing>
      </w:r>
    </w:p>
    <w:p>
      <w:pPr>
        <w:pStyle w:val="7"/>
        <w:spacing w:after="156"/>
        <w:ind w:firstLine="420"/>
        <w:rPr>
          <w:sz w:val="21"/>
          <w:highlight w:val="none"/>
        </w:rPr>
      </w:pPr>
      <w:r>
        <w:rPr>
          <w:sz w:val="21"/>
          <w:highlight w:val="none"/>
        </w:rPr>
        <w:t>图</w:t>
      </w:r>
      <w:r>
        <w:rPr>
          <w:rFonts w:hint="eastAsia"/>
          <w:sz w:val="21"/>
          <w:highlight w:val="none"/>
        </w:rPr>
        <w:fldChar w:fldCharType="begin"/>
      </w:r>
      <w:r>
        <w:rPr>
          <w:rFonts w:hint="eastAsia"/>
          <w:sz w:val="21"/>
          <w:highlight w:val="none"/>
        </w:rPr>
        <w:instrText xml:space="preserve"> SEQ 表 \* ARABIC </w:instrText>
      </w:r>
      <w:r>
        <w:rPr>
          <w:rFonts w:hint="eastAsia"/>
          <w:sz w:val="21"/>
          <w:highlight w:val="none"/>
        </w:rPr>
        <w:fldChar w:fldCharType="separate"/>
      </w:r>
      <w:r>
        <w:rPr>
          <w:rFonts w:hint="eastAsia"/>
          <w:sz w:val="21"/>
          <w:highlight w:val="none"/>
        </w:rPr>
        <w:t>1</w:t>
      </w:r>
      <w:r>
        <w:rPr>
          <w:rFonts w:hint="eastAsia"/>
          <w:sz w:val="21"/>
          <w:highlight w:val="none"/>
        </w:rPr>
        <w:fldChar w:fldCharType="end"/>
      </w:r>
      <w:r>
        <w:rPr>
          <w:rFonts w:hint="eastAsia"/>
          <w:sz w:val="21"/>
          <w:highlight w:val="none"/>
        </w:rPr>
        <w:t>-1 本项目河道治理区域示意图</w:t>
      </w:r>
    </w:p>
    <w:p>
      <w:pPr>
        <w:ind w:firstLine="480"/>
        <w:rPr>
          <w:highlight w:val="none"/>
        </w:rPr>
      </w:pPr>
      <w:r>
        <w:rPr>
          <w:rFonts w:hint="eastAsia"/>
          <w:highlight w:val="none"/>
        </w:rPr>
        <w:t>本工程设计内容主要包含：河道清淤15.91km；护岸工程26.51km；沿河新建或改建道路19.01km；水闸6座；电站2座（已取消）；穿堤建筑物37座；桥梁11座；生态修复河段长度4.6km；沿河景观节点19、5ha；节点公园42.27ha；大型广告牌5个；沿河停车位476个。</w:t>
      </w:r>
    </w:p>
    <w:p>
      <w:pPr>
        <w:ind w:firstLine="480"/>
        <w:rPr>
          <w:highlight w:val="none"/>
        </w:rPr>
      </w:pPr>
      <w:r>
        <w:rPr>
          <w:rFonts w:hint="eastAsia"/>
          <w:highlight w:val="none"/>
        </w:rPr>
        <w:t>针对老城区堤防工程及两岸道路改扩建工程，主要为增设防浪墙及堤顶道路新建或改建，其包含：</w:t>
      </w:r>
    </w:p>
    <w:p>
      <w:pPr>
        <w:ind w:firstLine="480"/>
        <w:rPr>
          <w:highlight w:val="none"/>
        </w:rPr>
      </w:pPr>
      <w:r>
        <w:rPr>
          <w:rFonts w:hint="eastAsia"/>
          <w:highlight w:val="none"/>
        </w:rPr>
        <w:t>（1）设置围蔽；</w:t>
      </w:r>
    </w:p>
    <w:p>
      <w:pPr>
        <w:ind w:firstLine="480"/>
        <w:rPr>
          <w:highlight w:val="none"/>
        </w:rPr>
      </w:pPr>
      <w:r>
        <w:rPr>
          <w:rFonts w:hint="eastAsia"/>
          <w:highlight w:val="none"/>
        </w:rPr>
        <w:t>（2）迁移沿线树木、电线杆、拆除栏杆、路灯、标牌等地面附着物；</w:t>
      </w:r>
    </w:p>
    <w:p>
      <w:pPr>
        <w:ind w:firstLine="480"/>
        <w:rPr>
          <w:highlight w:val="none"/>
        </w:rPr>
      </w:pPr>
      <w:r>
        <w:rPr>
          <w:rFonts w:hint="eastAsia"/>
          <w:highlight w:val="none"/>
        </w:rPr>
        <w:t>（3）拆除原有堤顶道路、人行道层建菱砖、栏杆；</w:t>
      </w:r>
    </w:p>
    <w:p>
      <w:pPr>
        <w:ind w:firstLine="480"/>
        <w:rPr>
          <w:highlight w:val="none"/>
        </w:rPr>
      </w:pPr>
      <w:r>
        <w:rPr>
          <w:rFonts w:hint="eastAsia"/>
          <w:highlight w:val="none"/>
        </w:rPr>
        <w:t>（4）拆除混凝土结构层、垫层、路沿石、挖除多余渣石土方；</w:t>
      </w:r>
    </w:p>
    <w:p>
      <w:pPr>
        <w:ind w:firstLine="480"/>
        <w:rPr>
          <w:highlight w:val="none"/>
        </w:rPr>
      </w:pPr>
      <w:r>
        <w:rPr>
          <w:rFonts w:hint="eastAsia"/>
          <w:highlight w:val="none"/>
        </w:rPr>
        <w:t>（5）新建防浪墙。</w:t>
      </w:r>
    </w:p>
    <w:p>
      <w:pPr>
        <w:ind w:firstLine="480"/>
        <w:rPr>
          <w:highlight w:val="none"/>
        </w:rPr>
      </w:pPr>
      <w:r>
        <w:rPr>
          <w:rFonts w:hint="eastAsia"/>
          <w:highlight w:val="none"/>
        </w:rPr>
        <w:t>（6）路基碾压夯实；</w:t>
      </w:r>
    </w:p>
    <w:p>
      <w:pPr>
        <w:ind w:firstLine="480"/>
        <w:rPr>
          <w:highlight w:val="none"/>
        </w:rPr>
      </w:pPr>
      <w:r>
        <w:rPr>
          <w:rFonts w:hint="eastAsia"/>
          <w:highlight w:val="none"/>
        </w:rPr>
        <w:t>（7）摊铺6%水泥石粉级配碎石垫层；</w:t>
      </w:r>
    </w:p>
    <w:p>
      <w:pPr>
        <w:ind w:firstLine="480"/>
        <w:rPr>
          <w:highlight w:val="none"/>
        </w:rPr>
      </w:pPr>
      <w:r>
        <w:rPr>
          <w:rFonts w:hint="eastAsia"/>
          <w:highlight w:val="none"/>
        </w:rPr>
        <w:t>（8）浇筑沥青混凝土、养护、开放交通。</w:t>
      </w:r>
    </w:p>
    <w:p>
      <w:pPr>
        <w:pStyle w:val="17"/>
        <w:ind w:firstLine="0" w:firstLineChars="0"/>
        <w:jc w:val="center"/>
        <w:rPr>
          <w:highlight w:val="none"/>
        </w:rPr>
      </w:pPr>
      <w:r>
        <w:rPr>
          <w:highlight w:val="none"/>
        </w:rPr>
        <w:drawing>
          <wp:inline distT="0" distB="0" distL="114300" distR="114300">
            <wp:extent cx="5360035" cy="2957830"/>
            <wp:effectExtent l="0" t="0" r="4445" b="1397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10" cstate="print"/>
                    <a:stretch>
                      <a:fillRect/>
                    </a:stretch>
                  </pic:blipFill>
                  <pic:spPr>
                    <a:xfrm>
                      <a:off x="0" y="0"/>
                      <a:ext cx="5360035" cy="2957830"/>
                    </a:xfrm>
                    <a:prstGeom prst="rect">
                      <a:avLst/>
                    </a:prstGeom>
                    <a:noFill/>
                    <a:ln>
                      <a:solidFill>
                        <a:schemeClr val="tx1"/>
                      </a:solidFill>
                    </a:ln>
                  </pic:spPr>
                </pic:pic>
              </a:graphicData>
            </a:graphic>
          </wp:inline>
        </w:drawing>
      </w:r>
    </w:p>
    <w:p>
      <w:pPr>
        <w:pStyle w:val="7"/>
        <w:spacing w:after="156"/>
        <w:ind w:firstLine="420"/>
        <w:rPr>
          <w:sz w:val="21"/>
          <w:highlight w:val="none"/>
        </w:rPr>
      </w:pPr>
      <w:r>
        <w:rPr>
          <w:sz w:val="21"/>
          <w:highlight w:val="none"/>
        </w:rPr>
        <w:t xml:space="preserve">图 </w:t>
      </w:r>
      <w:r>
        <w:rPr>
          <w:rFonts w:hint="eastAsia"/>
          <w:sz w:val="21"/>
          <w:highlight w:val="none"/>
        </w:rPr>
        <w:t>1-2 树木迁移、 路灯拆除平面位置</w:t>
      </w:r>
    </w:p>
    <w:p>
      <w:pPr>
        <w:pStyle w:val="7"/>
        <w:spacing w:after="156"/>
        <w:ind w:left="0" w:leftChars="0" w:firstLine="0" w:firstLineChars="0"/>
        <w:jc w:val="both"/>
        <w:rPr>
          <w:highlight w:val="none"/>
        </w:rPr>
      </w:pPr>
      <w:r>
        <w:rPr>
          <w:highlight w:val="none"/>
        </w:rPr>
        <w:drawing>
          <wp:inline distT="0" distB="0" distL="114300" distR="114300">
            <wp:extent cx="5758180" cy="2134235"/>
            <wp:effectExtent l="0" t="0" r="2540"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cstate="print"/>
                    <a:srcRect t="5589" b="6247"/>
                    <a:stretch>
                      <a:fillRect/>
                    </a:stretch>
                  </pic:blipFill>
                  <pic:spPr>
                    <a:xfrm>
                      <a:off x="0" y="0"/>
                      <a:ext cx="5758180" cy="2134235"/>
                    </a:xfrm>
                    <a:prstGeom prst="rect">
                      <a:avLst/>
                    </a:prstGeom>
                    <a:noFill/>
                    <a:ln>
                      <a:noFill/>
                    </a:ln>
                  </pic:spPr>
                </pic:pic>
              </a:graphicData>
            </a:graphic>
          </wp:inline>
        </w:drawing>
      </w:r>
    </w:p>
    <w:p>
      <w:pPr>
        <w:pStyle w:val="7"/>
        <w:spacing w:after="156"/>
        <w:ind w:firstLine="420"/>
        <w:rPr>
          <w:sz w:val="21"/>
          <w:highlight w:val="none"/>
        </w:rPr>
      </w:pPr>
      <w:r>
        <w:rPr>
          <w:sz w:val="21"/>
          <w:highlight w:val="none"/>
        </w:rPr>
        <w:t xml:space="preserve">图 </w:t>
      </w:r>
      <w:r>
        <w:rPr>
          <w:rFonts w:hint="eastAsia"/>
          <w:sz w:val="21"/>
          <w:highlight w:val="none"/>
        </w:rPr>
        <w:t>1-3 老城区河道治理断面示意图</w:t>
      </w:r>
    </w:p>
    <w:tbl>
      <w:tblPr>
        <w:tblStyle w:val="20"/>
        <w:tblW w:w="92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79"/>
        <w:gridCol w:w="4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9" w:type="dxa"/>
          </w:tcPr>
          <w:p>
            <w:pPr>
              <w:ind w:left="0" w:leftChars="0" w:firstLine="0" w:firstLineChars="0"/>
              <w:rPr>
                <w:sz w:val="28"/>
                <w:szCs w:val="28"/>
                <w:highlight w:val="none"/>
              </w:rPr>
            </w:pPr>
            <w:r>
              <w:rPr>
                <w:highlight w:val="none"/>
              </w:rPr>
              <w:drawing>
                <wp:inline distT="0" distB="0" distL="114300" distR="114300">
                  <wp:extent cx="2676525" cy="3001010"/>
                  <wp:effectExtent l="0" t="0" r="5715" b="127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12" cstate="print"/>
                          <a:stretch>
                            <a:fillRect/>
                          </a:stretch>
                        </pic:blipFill>
                        <pic:spPr>
                          <a:xfrm>
                            <a:off x="0" y="0"/>
                            <a:ext cx="2676525" cy="3001010"/>
                          </a:xfrm>
                          <a:prstGeom prst="rect">
                            <a:avLst/>
                          </a:prstGeom>
                          <a:noFill/>
                          <a:ln>
                            <a:noFill/>
                          </a:ln>
                        </pic:spPr>
                      </pic:pic>
                    </a:graphicData>
                  </a:graphic>
                </wp:inline>
              </w:drawing>
            </w:r>
          </w:p>
        </w:tc>
        <w:tc>
          <w:tcPr>
            <w:tcW w:w="4557" w:type="dxa"/>
          </w:tcPr>
          <w:p>
            <w:pPr>
              <w:ind w:firstLine="480"/>
              <w:rPr>
                <w:sz w:val="28"/>
                <w:szCs w:val="28"/>
                <w:highlight w:val="none"/>
              </w:rPr>
            </w:pPr>
            <w:r>
              <w:rPr>
                <w:highlight w:val="none"/>
              </w:rPr>
              <w:drawing>
                <wp:inline distT="0" distB="0" distL="114300" distR="114300">
                  <wp:extent cx="2473325" cy="3002280"/>
                  <wp:effectExtent l="0" t="0" r="10795" b="0"/>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pic:cNvPicPr>
                            <a:picLocks noChangeAspect="1"/>
                          </pic:cNvPicPr>
                        </pic:nvPicPr>
                        <pic:blipFill>
                          <a:blip r:embed="rId13" cstate="print"/>
                          <a:stretch>
                            <a:fillRect/>
                          </a:stretch>
                        </pic:blipFill>
                        <pic:spPr>
                          <a:xfrm>
                            <a:off x="0" y="0"/>
                            <a:ext cx="2473325" cy="30022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36" w:type="dxa"/>
            <w:gridSpan w:val="2"/>
          </w:tcPr>
          <w:p>
            <w:pPr>
              <w:ind w:firstLine="480"/>
              <w:jc w:val="center"/>
              <w:rPr>
                <w:sz w:val="28"/>
                <w:szCs w:val="28"/>
                <w:highlight w:val="none"/>
              </w:rPr>
            </w:pPr>
            <w:r>
              <w:rPr>
                <w:highlight w:val="none"/>
              </w:rPr>
              <w:drawing>
                <wp:inline distT="0" distB="0" distL="114300" distR="114300">
                  <wp:extent cx="2675890" cy="2661920"/>
                  <wp:effectExtent l="0" t="0" r="6350" b="508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14" cstate="print"/>
                          <a:stretch>
                            <a:fillRect/>
                          </a:stretch>
                        </pic:blipFill>
                        <pic:spPr>
                          <a:xfrm>
                            <a:off x="0" y="0"/>
                            <a:ext cx="2675890" cy="2661920"/>
                          </a:xfrm>
                          <a:prstGeom prst="rect">
                            <a:avLst/>
                          </a:prstGeom>
                          <a:noFill/>
                          <a:ln>
                            <a:noFill/>
                          </a:ln>
                        </pic:spPr>
                      </pic:pic>
                    </a:graphicData>
                  </a:graphic>
                </wp:inline>
              </w:drawing>
            </w:r>
          </w:p>
        </w:tc>
      </w:tr>
    </w:tbl>
    <w:p>
      <w:pPr>
        <w:pStyle w:val="7"/>
        <w:spacing w:after="156"/>
        <w:ind w:firstLine="420"/>
        <w:rPr>
          <w:sz w:val="21"/>
          <w:highlight w:val="none"/>
        </w:rPr>
      </w:pPr>
      <w:r>
        <w:rPr>
          <w:sz w:val="21"/>
          <w:highlight w:val="none"/>
        </w:rPr>
        <w:t xml:space="preserve">图 </w:t>
      </w:r>
      <w:r>
        <w:rPr>
          <w:rFonts w:hint="eastAsia"/>
          <w:sz w:val="21"/>
          <w:highlight w:val="none"/>
        </w:rPr>
        <w:t xml:space="preserve">1-4 </w:t>
      </w:r>
      <w:r>
        <w:rPr>
          <w:rFonts w:hint="eastAsia"/>
          <w:sz w:val="21"/>
          <w:szCs w:val="21"/>
          <w:highlight w:val="none"/>
        </w:rPr>
        <w:t>廉江市廉江河综合治理工程新村电站片项目可行性研究报告变更事项的批复</w:t>
      </w:r>
    </w:p>
    <w:p>
      <w:pPr>
        <w:pStyle w:val="4"/>
        <w:rPr>
          <w:highlight w:val="none"/>
        </w:rPr>
      </w:pPr>
      <w:bookmarkStart w:id="3" w:name="_Toc26220"/>
      <w:r>
        <w:rPr>
          <w:rFonts w:hint="eastAsia"/>
          <w:highlight w:val="none"/>
        </w:rPr>
        <w:t>三、现场树木、路灯、电线杆、标牌等附属物情况：</w:t>
      </w:r>
      <w:bookmarkEnd w:id="3"/>
    </w:p>
    <w:p>
      <w:pPr>
        <w:ind w:firstLine="480"/>
        <w:rPr>
          <w:highlight w:val="none"/>
        </w:rPr>
      </w:pPr>
      <w:r>
        <w:rPr>
          <w:rFonts w:hint="eastAsia"/>
          <w:highlight w:val="none"/>
        </w:rPr>
        <w:t>滨河景观带从新村水闸至北部湾大道，共计5.85km。其中河堤绿化工程建设中约1.7公里（黎湛铁路～人民大道中）河道两岸现存在路灯、树木等附属物需拆除、迁移。沿线树木邻近路边，经清点，本次需迁移树木323株，其中大叶榄仁1棵、小叶榄仁20棵、盆架子3棵、红千层13棵、红花紫荆162棵、水石榕35棵、大叶紫薇65棵、尖叶杜英24棵。同时，本次路灯拆除共计94盏，其中普通路灯92盏，高柱路灯2盏。</w:t>
      </w:r>
    </w:p>
    <w:p>
      <w:pPr>
        <w:ind w:firstLine="480"/>
        <w:rPr>
          <w:highlight w:val="none"/>
        </w:rPr>
      </w:pPr>
      <w:r>
        <w:rPr>
          <w:rFonts w:hint="eastAsia"/>
          <w:highlight w:val="none"/>
        </w:rPr>
        <w:t>原有道路虽有设置人行道，但整体路宽太小，无法满足项目建成后运营高峰人流的交通需要，且人行道上被各类电线杆、标识标牌、路灯、变压器等占道，部分附着物已经年久失修，被废弃使用。</w:t>
      </w:r>
    </w:p>
    <w:p>
      <w:pPr>
        <w:ind w:firstLine="480"/>
        <w:rPr>
          <w:highlight w:val="none"/>
        </w:rPr>
      </w:pPr>
      <w:r>
        <w:rPr>
          <w:rFonts w:hint="eastAsia"/>
          <w:highlight w:val="none"/>
        </w:rPr>
        <w:t>现状沿河两岸均有人行道，其道路照明均</w:t>
      </w:r>
      <w:r>
        <w:rPr>
          <w:rFonts w:hint="eastAsia"/>
          <w:highlight w:val="none"/>
          <w:lang w:val="en-US" w:eastAsia="zh-CN"/>
        </w:rPr>
        <w:t>通过连接市政电缆照明</w:t>
      </w:r>
      <w:r>
        <w:rPr>
          <w:rFonts w:hint="eastAsia"/>
          <w:highlight w:val="none"/>
        </w:rPr>
        <w:t>，</w:t>
      </w:r>
      <w:r>
        <w:rPr>
          <w:rFonts w:hint="eastAsia"/>
          <w:highlight w:val="none"/>
          <w:lang w:val="en-US" w:eastAsia="zh-CN"/>
        </w:rPr>
        <w:t>存在</w:t>
      </w:r>
      <w:r>
        <w:rPr>
          <w:rFonts w:hint="eastAsia"/>
          <w:highlight w:val="none"/>
        </w:rPr>
        <w:t>埋地电缆。位于两岸人行道与车行道交界处设有道路埋地排水管道系统，排水管道沿河设置，汇集于中国铁建廉江市水质净化厂。</w:t>
      </w:r>
    </w:p>
    <w:p>
      <w:pPr>
        <w:ind w:firstLine="480"/>
        <w:rPr>
          <w:highlight w:val="none"/>
        </w:rPr>
      </w:pPr>
      <w:r>
        <w:rPr>
          <w:rFonts w:hint="eastAsia"/>
          <w:highlight w:val="none"/>
        </w:rPr>
        <w:t>具体现状项目如下：</w:t>
      </w:r>
    </w:p>
    <w:tbl>
      <w:tblPr>
        <w:tblStyle w:val="20"/>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8"/>
        <w:gridCol w:w="4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Pr>
          <w:p>
            <w:pPr>
              <w:ind w:firstLine="0" w:firstLineChars="0"/>
              <w:jc w:val="center"/>
              <w:rPr>
                <w:highlight w:val="none"/>
              </w:rPr>
            </w:pPr>
            <w:r>
              <w:rPr>
                <w:highlight w:val="none"/>
              </w:rPr>
              <w:drawing>
                <wp:inline distT="0" distB="0" distL="114300" distR="114300">
                  <wp:extent cx="2671445" cy="2324735"/>
                  <wp:effectExtent l="19050" t="0" r="0"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5" cstate="print"/>
                          <a:stretch>
                            <a:fillRect/>
                          </a:stretch>
                        </pic:blipFill>
                        <pic:spPr>
                          <a:xfrm>
                            <a:off x="0" y="0"/>
                            <a:ext cx="2671445" cy="2324735"/>
                          </a:xfrm>
                          <a:prstGeom prst="rect">
                            <a:avLst/>
                          </a:prstGeom>
                          <a:noFill/>
                          <a:ln>
                            <a:noFill/>
                          </a:ln>
                        </pic:spPr>
                      </pic:pic>
                    </a:graphicData>
                  </a:graphic>
                </wp:inline>
              </w:drawing>
            </w:r>
          </w:p>
        </w:tc>
        <w:tc>
          <w:tcPr>
            <w:tcW w:w="4448" w:type="dxa"/>
          </w:tcPr>
          <w:p>
            <w:pPr>
              <w:ind w:firstLine="0" w:firstLineChars="0"/>
              <w:jc w:val="center"/>
              <w:rPr>
                <w:highlight w:val="none"/>
              </w:rPr>
            </w:pPr>
            <w:r>
              <w:rPr>
                <w:highlight w:val="none"/>
              </w:rPr>
              <w:drawing>
                <wp:inline distT="0" distB="0" distL="114300" distR="114300">
                  <wp:extent cx="2628900" cy="2209800"/>
                  <wp:effectExtent l="0" t="0" r="7620" b="0"/>
                  <wp:docPr id="38" name="图片 9"/>
                  <wp:cNvGraphicFramePr/>
                  <a:graphic xmlns:a="http://schemas.openxmlformats.org/drawingml/2006/main">
                    <a:graphicData uri="http://schemas.openxmlformats.org/drawingml/2006/picture">
                      <pic:pic xmlns:pic="http://schemas.openxmlformats.org/drawingml/2006/picture">
                        <pic:nvPicPr>
                          <pic:cNvPr id="38" name="图片 9"/>
                          <pic:cNvPicPr/>
                        </pic:nvPicPr>
                        <pic:blipFill>
                          <a:blip r:embed="rId16" cstate="print"/>
                          <a:stretch>
                            <a:fillRect/>
                          </a:stretch>
                        </pic:blipFill>
                        <pic:spPr>
                          <a:xfrm>
                            <a:off x="0" y="0"/>
                            <a:ext cx="2628900" cy="2209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Pr>
          <w:p>
            <w:pPr>
              <w:ind w:firstLine="0" w:firstLineChars="0"/>
              <w:jc w:val="center"/>
              <w:rPr>
                <w:highlight w:val="none"/>
              </w:rPr>
            </w:pPr>
            <w:r>
              <w:rPr>
                <w:highlight w:val="none"/>
              </w:rPr>
              <w:drawing>
                <wp:inline distT="0" distB="0" distL="114300" distR="114300">
                  <wp:extent cx="2788285" cy="2157095"/>
                  <wp:effectExtent l="0" t="0" r="635" b="698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7" cstate="print"/>
                          <a:stretch>
                            <a:fillRect/>
                          </a:stretch>
                        </pic:blipFill>
                        <pic:spPr>
                          <a:xfrm>
                            <a:off x="0" y="0"/>
                            <a:ext cx="2788285" cy="2157095"/>
                          </a:xfrm>
                          <a:prstGeom prst="rect">
                            <a:avLst/>
                          </a:prstGeom>
                          <a:noFill/>
                          <a:ln>
                            <a:noFill/>
                          </a:ln>
                        </pic:spPr>
                      </pic:pic>
                    </a:graphicData>
                  </a:graphic>
                </wp:inline>
              </w:drawing>
            </w:r>
          </w:p>
        </w:tc>
        <w:tc>
          <w:tcPr>
            <w:tcW w:w="4448" w:type="dxa"/>
          </w:tcPr>
          <w:p>
            <w:pPr>
              <w:ind w:firstLine="0" w:firstLineChars="0"/>
              <w:jc w:val="center"/>
              <w:rPr>
                <w:highlight w:val="none"/>
              </w:rPr>
            </w:pPr>
            <w:r>
              <w:rPr>
                <w:highlight w:val="none"/>
              </w:rPr>
              <w:drawing>
                <wp:inline distT="0" distB="0" distL="114300" distR="114300">
                  <wp:extent cx="2724150" cy="2104390"/>
                  <wp:effectExtent l="19050" t="0" r="0" b="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8" cstate="print"/>
                          <a:stretch>
                            <a:fillRect/>
                          </a:stretch>
                        </pic:blipFill>
                        <pic:spPr>
                          <a:xfrm>
                            <a:off x="0" y="0"/>
                            <a:ext cx="2725097" cy="210527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Pr>
          <w:p>
            <w:pPr>
              <w:ind w:firstLine="0" w:firstLineChars="0"/>
              <w:jc w:val="center"/>
              <w:rPr>
                <w:highlight w:val="none"/>
              </w:rPr>
            </w:pPr>
            <w:r>
              <w:rPr>
                <w:highlight w:val="none"/>
              </w:rPr>
              <w:drawing>
                <wp:inline distT="0" distB="0" distL="114300" distR="114300">
                  <wp:extent cx="2788285" cy="2087245"/>
                  <wp:effectExtent l="0" t="0" r="635" b="63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9" cstate="print"/>
                          <a:stretch>
                            <a:fillRect/>
                          </a:stretch>
                        </pic:blipFill>
                        <pic:spPr>
                          <a:xfrm>
                            <a:off x="0" y="0"/>
                            <a:ext cx="2788285" cy="2087245"/>
                          </a:xfrm>
                          <a:prstGeom prst="rect">
                            <a:avLst/>
                          </a:prstGeom>
                          <a:noFill/>
                          <a:ln>
                            <a:noFill/>
                          </a:ln>
                        </pic:spPr>
                      </pic:pic>
                    </a:graphicData>
                  </a:graphic>
                </wp:inline>
              </w:drawing>
            </w:r>
          </w:p>
        </w:tc>
        <w:tc>
          <w:tcPr>
            <w:tcW w:w="4448" w:type="dxa"/>
          </w:tcPr>
          <w:p>
            <w:pPr>
              <w:ind w:firstLine="0" w:firstLineChars="0"/>
              <w:jc w:val="center"/>
              <w:rPr>
                <w:highlight w:val="none"/>
              </w:rPr>
            </w:pPr>
            <w:r>
              <w:rPr>
                <w:highlight w:val="none"/>
              </w:rPr>
              <w:drawing>
                <wp:inline distT="0" distB="0" distL="114300" distR="114300">
                  <wp:extent cx="2788285" cy="2012315"/>
                  <wp:effectExtent l="0" t="0" r="635" b="1460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0" cstate="print"/>
                          <a:stretch>
                            <a:fillRect/>
                          </a:stretch>
                        </pic:blipFill>
                        <pic:spPr>
                          <a:xfrm>
                            <a:off x="0" y="0"/>
                            <a:ext cx="2788285" cy="2012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Pr>
          <w:p>
            <w:pPr>
              <w:ind w:firstLine="0" w:firstLineChars="0"/>
              <w:rPr>
                <w:highlight w:val="none"/>
              </w:rPr>
            </w:pPr>
            <w:r>
              <w:rPr>
                <w:highlight w:val="none"/>
              </w:rPr>
              <w:drawing>
                <wp:inline distT="0" distB="0" distL="114300" distR="114300">
                  <wp:extent cx="2791460" cy="2142490"/>
                  <wp:effectExtent l="0" t="0" r="12700" b="635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1" cstate="print"/>
                          <a:stretch>
                            <a:fillRect/>
                          </a:stretch>
                        </pic:blipFill>
                        <pic:spPr>
                          <a:xfrm>
                            <a:off x="0" y="0"/>
                            <a:ext cx="2791460" cy="2142490"/>
                          </a:xfrm>
                          <a:prstGeom prst="rect">
                            <a:avLst/>
                          </a:prstGeom>
                          <a:noFill/>
                          <a:ln>
                            <a:noFill/>
                          </a:ln>
                        </pic:spPr>
                      </pic:pic>
                    </a:graphicData>
                  </a:graphic>
                </wp:inline>
              </w:drawing>
            </w:r>
          </w:p>
        </w:tc>
        <w:tc>
          <w:tcPr>
            <w:tcW w:w="4448" w:type="dxa"/>
          </w:tcPr>
          <w:p>
            <w:pPr>
              <w:ind w:firstLine="0" w:firstLineChars="0"/>
              <w:rPr>
                <w:highlight w:val="none"/>
              </w:rPr>
            </w:pPr>
            <w:r>
              <w:rPr>
                <w:highlight w:val="none"/>
              </w:rPr>
              <w:drawing>
                <wp:inline distT="0" distB="0" distL="114300" distR="114300">
                  <wp:extent cx="2793365" cy="2134870"/>
                  <wp:effectExtent l="0" t="0" r="10795" b="1397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2" cstate="print"/>
                          <a:stretch>
                            <a:fillRect/>
                          </a:stretch>
                        </pic:blipFill>
                        <pic:spPr>
                          <a:xfrm>
                            <a:off x="0" y="0"/>
                            <a:ext cx="2793365" cy="2134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4618" w:type="dxa"/>
          </w:tcPr>
          <w:p>
            <w:pPr>
              <w:ind w:firstLine="0" w:firstLineChars="0"/>
              <w:jc w:val="left"/>
              <w:rPr>
                <w:highlight w:val="none"/>
              </w:rPr>
            </w:pPr>
            <w:r>
              <w:rPr>
                <w:rFonts w:hint="eastAsia"/>
                <w:sz w:val="28"/>
                <w:szCs w:val="28"/>
                <w:highlight w:val="none"/>
              </w:rPr>
              <w:drawing>
                <wp:inline distT="0" distB="0" distL="114300" distR="114300">
                  <wp:extent cx="2796540" cy="1809750"/>
                  <wp:effectExtent l="0" t="0" r="7620" b="3810"/>
                  <wp:docPr id="45" name="图片 45" descr="0d6206c3ecb810518bb4712a516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d6206c3ecb810518bb4712a5165631"/>
                          <pic:cNvPicPr>
                            <a:picLocks noChangeAspect="1"/>
                          </pic:cNvPicPr>
                        </pic:nvPicPr>
                        <pic:blipFill>
                          <a:blip r:embed="rId23" cstate="print"/>
                          <a:stretch>
                            <a:fillRect/>
                          </a:stretch>
                        </pic:blipFill>
                        <pic:spPr>
                          <a:xfrm>
                            <a:off x="0" y="0"/>
                            <a:ext cx="2796540" cy="1809750"/>
                          </a:xfrm>
                          <a:prstGeom prst="rect">
                            <a:avLst/>
                          </a:prstGeom>
                        </pic:spPr>
                      </pic:pic>
                    </a:graphicData>
                  </a:graphic>
                </wp:inline>
              </w:drawing>
            </w:r>
          </w:p>
        </w:tc>
        <w:tc>
          <w:tcPr>
            <w:tcW w:w="4448" w:type="dxa"/>
          </w:tcPr>
          <w:p>
            <w:pPr>
              <w:ind w:firstLine="0" w:firstLineChars="0"/>
              <w:rPr>
                <w:highlight w:val="none"/>
              </w:rPr>
            </w:pPr>
            <w:r>
              <w:rPr>
                <w:rFonts w:hint="eastAsia"/>
                <w:sz w:val="28"/>
                <w:szCs w:val="28"/>
                <w:highlight w:val="none"/>
              </w:rPr>
              <w:drawing>
                <wp:inline distT="0" distB="0" distL="114300" distR="114300">
                  <wp:extent cx="2649855" cy="1837690"/>
                  <wp:effectExtent l="0" t="0" r="1905" b="6350"/>
                  <wp:docPr id="46" name="图片 46" descr="01ea60ae73f957504eb214ae8c0e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1ea60ae73f957504eb214ae8c0edd4"/>
                          <pic:cNvPicPr>
                            <a:picLocks noChangeAspect="1"/>
                          </pic:cNvPicPr>
                        </pic:nvPicPr>
                        <pic:blipFill>
                          <a:blip r:embed="rId24" cstate="print"/>
                          <a:stretch>
                            <a:fillRect/>
                          </a:stretch>
                        </pic:blipFill>
                        <pic:spPr>
                          <a:xfrm>
                            <a:off x="0" y="0"/>
                            <a:ext cx="2649855" cy="1837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4618" w:type="dxa"/>
          </w:tcPr>
          <w:p>
            <w:pPr>
              <w:ind w:firstLine="0" w:firstLineChars="0"/>
              <w:jc w:val="left"/>
              <w:rPr>
                <w:highlight w:val="none"/>
              </w:rPr>
            </w:pPr>
            <w:r>
              <w:rPr>
                <w:rFonts w:hint="eastAsia"/>
                <w:sz w:val="28"/>
                <w:szCs w:val="28"/>
                <w:highlight w:val="none"/>
              </w:rPr>
              <w:drawing>
                <wp:inline distT="0" distB="0" distL="114300" distR="114300">
                  <wp:extent cx="2713990" cy="2035175"/>
                  <wp:effectExtent l="0" t="0" r="13970" b="6985"/>
                  <wp:docPr id="47" name="图片 47" descr="48b2c556d13d79d956f6fc64c715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8b2c556d13d79d956f6fc64c715aba"/>
                          <pic:cNvPicPr>
                            <a:picLocks noChangeAspect="1"/>
                          </pic:cNvPicPr>
                        </pic:nvPicPr>
                        <pic:blipFill>
                          <a:blip r:embed="rId25" cstate="print"/>
                          <a:stretch>
                            <a:fillRect/>
                          </a:stretch>
                        </pic:blipFill>
                        <pic:spPr>
                          <a:xfrm>
                            <a:off x="0" y="0"/>
                            <a:ext cx="2713990" cy="2035175"/>
                          </a:xfrm>
                          <a:prstGeom prst="rect">
                            <a:avLst/>
                          </a:prstGeom>
                        </pic:spPr>
                      </pic:pic>
                    </a:graphicData>
                  </a:graphic>
                </wp:inline>
              </w:drawing>
            </w:r>
          </w:p>
        </w:tc>
        <w:tc>
          <w:tcPr>
            <w:tcW w:w="4448" w:type="dxa"/>
          </w:tcPr>
          <w:p>
            <w:pPr>
              <w:ind w:firstLine="0" w:firstLineChars="0"/>
              <w:rPr>
                <w:highlight w:val="none"/>
              </w:rPr>
            </w:pPr>
            <w:r>
              <w:rPr>
                <w:rFonts w:hint="eastAsia"/>
                <w:sz w:val="28"/>
                <w:szCs w:val="28"/>
                <w:highlight w:val="none"/>
              </w:rPr>
              <w:drawing>
                <wp:inline distT="0" distB="0" distL="114300" distR="114300">
                  <wp:extent cx="2713990" cy="2035175"/>
                  <wp:effectExtent l="0" t="0" r="13970" b="6985"/>
                  <wp:docPr id="48" name="图片 48" descr="db0d4af3e70d2002bcc7b419e69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b0d4af3e70d2002bcc7b419e692133"/>
                          <pic:cNvPicPr>
                            <a:picLocks noChangeAspect="1"/>
                          </pic:cNvPicPr>
                        </pic:nvPicPr>
                        <pic:blipFill>
                          <a:blip r:embed="rId26" cstate="print"/>
                          <a:stretch>
                            <a:fillRect/>
                          </a:stretch>
                        </pic:blipFill>
                        <pic:spPr>
                          <a:xfrm>
                            <a:off x="0" y="0"/>
                            <a:ext cx="2713990" cy="2035175"/>
                          </a:xfrm>
                          <a:prstGeom prst="rect">
                            <a:avLst/>
                          </a:prstGeom>
                        </pic:spPr>
                      </pic:pic>
                    </a:graphicData>
                  </a:graphic>
                </wp:inline>
              </w:drawing>
            </w:r>
          </w:p>
        </w:tc>
      </w:tr>
    </w:tbl>
    <w:p>
      <w:pPr>
        <w:pStyle w:val="7"/>
        <w:spacing w:after="156"/>
        <w:ind w:firstLine="420"/>
        <w:rPr>
          <w:rFonts w:ascii="宋体" w:hAnsi="宋体" w:eastAsia="宋体" w:cs="宋体"/>
          <w:b/>
          <w:bCs/>
          <w:color w:val="000000"/>
          <w:kern w:val="0"/>
          <w:sz w:val="36"/>
          <w:szCs w:val="36"/>
          <w:highlight w:val="none"/>
        </w:rPr>
      </w:pPr>
      <w:r>
        <w:rPr>
          <w:sz w:val="21"/>
          <w:highlight w:val="none"/>
        </w:rPr>
        <w:t xml:space="preserve">图 </w:t>
      </w:r>
      <w:r>
        <w:rPr>
          <w:rFonts w:hint="eastAsia"/>
          <w:sz w:val="21"/>
          <w:highlight w:val="none"/>
        </w:rPr>
        <w:t>1-5迁移树木现状图</w:t>
      </w:r>
      <w:r>
        <w:rPr>
          <w:rFonts w:ascii="宋体" w:hAnsi="宋体" w:eastAsia="宋体" w:cs="宋体"/>
          <w:b/>
          <w:bCs/>
          <w:color w:val="000000"/>
          <w:kern w:val="0"/>
          <w:sz w:val="36"/>
          <w:szCs w:val="36"/>
          <w:highlight w:val="none"/>
        </w:rPr>
        <w:br w:type="page"/>
      </w:r>
    </w:p>
    <w:p>
      <w:pPr>
        <w:pStyle w:val="3"/>
        <w:numPr>
          <w:ilvl w:val="0"/>
          <w:numId w:val="1"/>
        </w:numPr>
        <w:spacing w:before="0" w:after="200" w:line="480" w:lineRule="auto"/>
        <w:ind w:firstLine="562"/>
        <w:jc w:val="center"/>
        <w:rPr>
          <w:sz w:val="28"/>
          <w:szCs w:val="28"/>
          <w:highlight w:val="none"/>
        </w:rPr>
      </w:pPr>
      <w:bookmarkStart w:id="4" w:name="_Toc25191"/>
      <w:r>
        <w:rPr>
          <w:rFonts w:hint="eastAsia"/>
          <w:sz w:val="28"/>
          <w:szCs w:val="28"/>
          <w:highlight w:val="none"/>
        </w:rPr>
        <w:t>编制依据</w:t>
      </w:r>
      <w:bookmarkEnd w:id="4"/>
    </w:p>
    <w:p>
      <w:pPr>
        <w:ind w:firstLine="480"/>
        <w:rPr>
          <w:highlight w:val="none"/>
        </w:rPr>
      </w:pPr>
      <w:r>
        <w:rPr>
          <w:rFonts w:hint="eastAsia"/>
          <w:highlight w:val="none"/>
        </w:rPr>
        <w:t>1、《关于廉江市廉江河综合治理工程新村电站片项目可行性研究报告变更事项的批复》</w:t>
      </w:r>
    </w:p>
    <w:p>
      <w:pPr>
        <w:ind w:firstLine="480"/>
        <w:rPr>
          <w:highlight w:val="none"/>
        </w:rPr>
      </w:pPr>
      <w:r>
        <w:rPr>
          <w:rFonts w:hint="eastAsia"/>
          <w:highlight w:val="none"/>
        </w:rPr>
        <w:t>2、《廉江市廉江河综合治理工程新村电站片项目初步设计报告的批复》</w:t>
      </w:r>
    </w:p>
    <w:p>
      <w:pPr>
        <w:ind w:firstLine="480"/>
        <w:rPr>
          <w:highlight w:val="none"/>
        </w:rPr>
      </w:pPr>
      <w:r>
        <w:rPr>
          <w:rFonts w:hint="eastAsia"/>
          <w:highlight w:val="none"/>
        </w:rPr>
        <w:t>3、《廉江市廉江河综合治理工程新村电站片项目可行性研究报告批复》</w:t>
      </w:r>
    </w:p>
    <w:p>
      <w:pPr>
        <w:ind w:firstLine="480"/>
        <w:rPr>
          <w:highlight w:val="none"/>
        </w:rPr>
      </w:pPr>
      <w:r>
        <w:rPr>
          <w:rFonts w:hint="eastAsia"/>
          <w:highlight w:val="none"/>
        </w:rPr>
        <w:t>4、《现状树木与拆除工程量施工图》</w:t>
      </w:r>
    </w:p>
    <w:p>
      <w:pPr>
        <w:ind w:firstLine="480"/>
        <w:rPr>
          <w:highlight w:val="none"/>
        </w:rPr>
      </w:pPr>
      <w:r>
        <w:rPr>
          <w:rFonts w:hint="eastAsia"/>
          <w:highlight w:val="none"/>
        </w:rPr>
        <w:t>5．《中华人民共和国电力法》</w:t>
      </w:r>
    </w:p>
    <w:p>
      <w:pPr>
        <w:ind w:firstLine="480"/>
        <w:rPr>
          <w:highlight w:val="none"/>
        </w:rPr>
      </w:pPr>
      <w:r>
        <w:rPr>
          <w:rFonts w:hint="eastAsia"/>
          <w:highlight w:val="none"/>
        </w:rPr>
        <w:t xml:space="preserve">6、《电力设施保护条例》 </w:t>
      </w:r>
    </w:p>
    <w:p>
      <w:pPr>
        <w:ind w:firstLine="480"/>
        <w:rPr>
          <w:highlight w:val="none"/>
        </w:rPr>
      </w:pPr>
      <w:r>
        <w:rPr>
          <w:rFonts w:hint="eastAsia"/>
          <w:highlight w:val="none"/>
        </w:rPr>
        <w:t>7、《城市道路绿化规范与设计规范》（CJJ75-97）</w:t>
      </w:r>
    </w:p>
    <w:p>
      <w:pPr>
        <w:ind w:firstLine="480"/>
        <w:rPr>
          <w:highlight w:val="none"/>
        </w:rPr>
      </w:pPr>
      <w:r>
        <w:rPr>
          <w:rFonts w:hint="eastAsia"/>
          <w:highlight w:val="none"/>
        </w:rPr>
        <w:t>8、《城市绿地分类标准》（CJJ/T85-2017）</w:t>
      </w:r>
    </w:p>
    <w:p>
      <w:pPr>
        <w:ind w:firstLine="480"/>
        <w:rPr>
          <w:highlight w:val="none"/>
        </w:rPr>
      </w:pPr>
      <w:r>
        <w:rPr>
          <w:rFonts w:hint="eastAsia"/>
          <w:highlight w:val="none"/>
        </w:rPr>
        <w:t xml:space="preserve">9、《园林绿化工程施工及验收规范》（CJJ82-2012） </w:t>
      </w:r>
    </w:p>
    <w:p>
      <w:pPr>
        <w:ind w:firstLine="480"/>
        <w:rPr>
          <w:highlight w:val="none"/>
        </w:rPr>
      </w:pPr>
      <w:r>
        <w:rPr>
          <w:rFonts w:hint="eastAsia"/>
          <w:highlight w:val="none"/>
        </w:rPr>
        <w:t>10、《广东省城市绿化工程施工和验收规范》（DB44/T581-2009）</w:t>
      </w:r>
    </w:p>
    <w:p>
      <w:pPr>
        <w:ind w:firstLine="480"/>
        <w:rPr>
          <w:highlight w:val="none"/>
        </w:rPr>
      </w:pPr>
      <w:r>
        <w:rPr>
          <w:rFonts w:hint="eastAsia"/>
          <w:highlight w:val="none"/>
        </w:rPr>
        <w:t>11、《城市绿地养护技术规范》（DB/T 268-2005）</w:t>
      </w:r>
    </w:p>
    <w:p>
      <w:pPr>
        <w:ind w:firstLine="480"/>
        <w:rPr>
          <w:highlight w:val="none"/>
        </w:rPr>
      </w:pPr>
      <w:r>
        <w:rPr>
          <w:rFonts w:hint="eastAsia"/>
          <w:highlight w:val="none"/>
        </w:rPr>
        <w:t>12、《湛江市城市园林绿化管理办法》</w:t>
      </w:r>
    </w:p>
    <w:p>
      <w:pPr>
        <w:ind w:firstLine="480"/>
        <w:rPr>
          <w:highlight w:val="none"/>
        </w:rPr>
      </w:pPr>
      <w:r>
        <w:rPr>
          <w:rFonts w:hint="eastAsia"/>
          <w:highlight w:val="none"/>
        </w:rPr>
        <w:t>13、《广东省城市绿化条例》</w:t>
      </w:r>
    </w:p>
    <w:p>
      <w:pPr>
        <w:ind w:firstLine="480"/>
        <w:rPr>
          <w:highlight w:val="none"/>
        </w:rPr>
      </w:pPr>
      <w:r>
        <w:rPr>
          <w:rFonts w:hint="eastAsia"/>
          <w:highlight w:val="none"/>
        </w:rPr>
        <w:t>14、《湛江市城市规划管理办法》</w:t>
      </w:r>
    </w:p>
    <w:p>
      <w:pPr>
        <w:ind w:firstLine="480"/>
        <w:rPr>
          <w:highlight w:val="none"/>
        </w:rPr>
      </w:pPr>
      <w:r>
        <w:rPr>
          <w:rFonts w:hint="eastAsia"/>
          <w:highlight w:val="none"/>
        </w:rPr>
        <w:t>15、《黎湛铁路至贺村仔河段平面布置图及结构图》</w:t>
      </w:r>
    </w:p>
    <w:p>
      <w:pPr>
        <w:ind w:firstLine="480"/>
        <w:jc w:val="center"/>
        <w:rPr>
          <w:highlight w:val="none"/>
        </w:rPr>
      </w:pPr>
      <w:r>
        <w:rPr>
          <w:highlight w:val="none"/>
        </w:rPr>
        <w:br w:type="page"/>
      </w:r>
    </w:p>
    <w:p>
      <w:pPr>
        <w:pStyle w:val="3"/>
        <w:numPr>
          <w:ilvl w:val="0"/>
          <w:numId w:val="1"/>
        </w:numPr>
        <w:spacing w:before="0" w:after="200" w:line="480" w:lineRule="auto"/>
        <w:ind w:firstLine="562"/>
        <w:jc w:val="center"/>
        <w:rPr>
          <w:sz w:val="28"/>
          <w:szCs w:val="28"/>
          <w:highlight w:val="none"/>
        </w:rPr>
      </w:pPr>
      <w:bookmarkStart w:id="5" w:name="_Toc13517"/>
      <w:r>
        <w:rPr>
          <w:rFonts w:hint="eastAsia"/>
          <w:sz w:val="28"/>
          <w:szCs w:val="28"/>
          <w:highlight w:val="none"/>
        </w:rPr>
        <w:t>迁移的必要性</w:t>
      </w:r>
      <w:bookmarkEnd w:id="5"/>
    </w:p>
    <w:p>
      <w:pPr>
        <w:ind w:firstLine="480"/>
        <w:rPr>
          <w:highlight w:val="none"/>
        </w:rPr>
      </w:pPr>
      <w:r>
        <w:rPr>
          <w:rFonts w:hint="eastAsia"/>
          <w:highlight w:val="none"/>
        </w:rPr>
        <w:t>根据廉江市发展和改革局文件：关于廉江市廉江河综合治理工程新村电站片可行性研究报告变更事项的批复及廉江河综合治理工程新村电站片项目（一期）施工设计图纸，对廉江河一河两岸进行河道治理及景观提升，现因黎湛铁路至人民大道中两岸施工红线范围内人行道上现存在大量苗木及路灯，阻碍施工</w:t>
      </w:r>
      <w:r>
        <w:rPr>
          <w:rFonts w:hint="eastAsia"/>
          <w:highlight w:val="none"/>
          <w:lang w:eastAsia="zh-CN"/>
        </w:rPr>
        <w:t>。</w:t>
      </w:r>
      <w:r>
        <w:rPr>
          <w:rFonts w:hint="eastAsia"/>
          <w:highlight w:val="none"/>
        </w:rPr>
        <w:t>根据设计</w:t>
      </w:r>
      <w:r>
        <w:rPr>
          <w:rFonts w:hint="eastAsia"/>
          <w:highlight w:val="none"/>
          <w:lang w:val="en-US" w:eastAsia="zh-CN"/>
        </w:rPr>
        <w:t>要求</w:t>
      </w:r>
      <w:r>
        <w:rPr>
          <w:rFonts w:hint="eastAsia"/>
          <w:highlight w:val="none"/>
        </w:rPr>
        <w:t>，河道治理完成后需满足50年一遇的防洪要求，然现状部分河堤挡墙较低，需</w:t>
      </w:r>
      <w:r>
        <w:rPr>
          <w:rFonts w:hint="eastAsia"/>
          <w:highlight w:val="none"/>
          <w:lang w:val="en-US" w:eastAsia="zh-CN"/>
        </w:rPr>
        <w:t>加高</w:t>
      </w:r>
      <w:r>
        <w:rPr>
          <w:rFonts w:hint="eastAsia"/>
          <w:highlight w:val="none"/>
        </w:rPr>
        <w:t>防浪墙，防浪墙修建需占用现状人行步道，如不对现状苗木及路灯等附属物进行迁移、拆除，无法根据廉江河综合治理工程设计图纸进行施工。因此，</w:t>
      </w:r>
      <w:r>
        <w:rPr>
          <w:rFonts w:hint="eastAsia"/>
          <w:highlight w:val="none"/>
          <w:lang w:val="en-US" w:eastAsia="zh-CN"/>
        </w:rPr>
        <w:t>需</w:t>
      </w:r>
      <w:r>
        <w:rPr>
          <w:rFonts w:hint="eastAsia"/>
          <w:highlight w:val="none"/>
        </w:rPr>
        <w:t>对沿河两岸</w:t>
      </w:r>
      <w:r>
        <w:rPr>
          <w:rFonts w:hint="eastAsia"/>
          <w:highlight w:val="none"/>
          <w:lang w:val="en-US" w:eastAsia="zh-CN"/>
        </w:rPr>
        <w:t>现状</w:t>
      </w:r>
      <w:r>
        <w:rPr>
          <w:rFonts w:hint="eastAsia"/>
          <w:highlight w:val="none"/>
        </w:rPr>
        <w:t>苗木、路灯及附属物进行迁移</w:t>
      </w:r>
      <w:r>
        <w:rPr>
          <w:rFonts w:hint="eastAsia"/>
          <w:highlight w:val="none"/>
          <w:lang w:val="en-US" w:eastAsia="zh-CN"/>
        </w:rPr>
        <w:t>及</w:t>
      </w:r>
      <w:r>
        <w:rPr>
          <w:rFonts w:hint="eastAsia"/>
          <w:highlight w:val="none"/>
        </w:rPr>
        <w:t>拆除。</w:t>
      </w:r>
    </w:p>
    <w:p>
      <w:pPr>
        <w:ind w:left="0" w:leftChars="0" w:firstLine="0" w:firstLineChars="0"/>
        <w:jc w:val="center"/>
      </w:pPr>
      <w:r>
        <w:drawing>
          <wp:inline distT="0" distB="0" distL="114300" distR="114300">
            <wp:extent cx="5325110" cy="2494280"/>
            <wp:effectExtent l="0" t="0" r="889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rcRect t="3918" b="4478"/>
                    <a:stretch>
                      <a:fillRect/>
                    </a:stretch>
                  </pic:blipFill>
                  <pic:spPr>
                    <a:xfrm>
                      <a:off x="0" y="0"/>
                      <a:ext cx="5325110" cy="2494280"/>
                    </a:xfrm>
                    <a:prstGeom prst="rect">
                      <a:avLst/>
                    </a:prstGeom>
                    <a:noFill/>
                    <a:ln>
                      <a:noFill/>
                    </a:ln>
                  </pic:spPr>
                </pic:pic>
              </a:graphicData>
            </a:graphic>
          </wp:inline>
        </w:drawing>
      </w:r>
    </w:p>
    <w:p>
      <w:pPr>
        <w:pStyle w:val="7"/>
        <w:spacing w:after="156"/>
        <w:ind w:firstLine="420"/>
        <w:rPr>
          <w:rFonts w:ascii="宋体" w:hAnsi="宋体" w:cs="宋体"/>
          <w:highlight w:val="none"/>
        </w:rPr>
      </w:pPr>
      <w:r>
        <w:rPr>
          <w:rFonts w:hint="eastAsia"/>
          <w:sz w:val="21"/>
          <w:highlight w:val="none"/>
        </w:rPr>
        <w:t xml:space="preserve">图 </w:t>
      </w:r>
      <w:r>
        <w:rPr>
          <w:rFonts w:hint="eastAsia"/>
          <w:sz w:val="21"/>
          <w:highlight w:val="none"/>
          <w:lang w:val="en-US" w:eastAsia="zh-CN"/>
        </w:rPr>
        <w:t>3</w:t>
      </w:r>
      <w:r>
        <w:rPr>
          <w:rFonts w:hint="eastAsia"/>
          <w:sz w:val="21"/>
          <w:highlight w:val="none"/>
          <w:lang w:eastAsia="zh-CN"/>
        </w:rPr>
        <w:t>-</w:t>
      </w:r>
      <w:r>
        <w:rPr>
          <w:rFonts w:hint="eastAsia"/>
          <w:sz w:val="21"/>
          <w:highlight w:val="none"/>
        </w:rPr>
        <w:fldChar w:fldCharType="begin"/>
      </w:r>
      <w:r>
        <w:rPr>
          <w:rFonts w:hint="eastAsia"/>
          <w:sz w:val="21"/>
          <w:highlight w:val="none"/>
        </w:rPr>
        <w:instrText xml:space="preserve"> SEQ 图 \* ARABIC \s 1 </w:instrText>
      </w:r>
      <w:r>
        <w:rPr>
          <w:rFonts w:hint="eastAsia"/>
          <w:sz w:val="21"/>
          <w:highlight w:val="none"/>
        </w:rPr>
        <w:fldChar w:fldCharType="separate"/>
      </w:r>
      <w:r>
        <w:rPr>
          <w:rFonts w:hint="eastAsia"/>
          <w:sz w:val="21"/>
          <w:highlight w:val="none"/>
        </w:rPr>
        <w:t>1</w:t>
      </w:r>
      <w:r>
        <w:rPr>
          <w:rFonts w:hint="eastAsia"/>
          <w:sz w:val="21"/>
          <w:highlight w:val="none"/>
        </w:rPr>
        <w:fldChar w:fldCharType="end"/>
      </w:r>
      <w:r>
        <w:rPr>
          <w:rFonts w:hint="eastAsia"/>
          <w:sz w:val="21"/>
          <w:highlight w:val="none"/>
        </w:rPr>
        <w:t xml:space="preserve"> 树木迁移、路灯拆除</w:t>
      </w:r>
      <w:r>
        <w:rPr>
          <w:rFonts w:hint="eastAsia"/>
          <w:sz w:val="21"/>
          <w:highlight w:val="none"/>
          <w:lang w:val="en-US" w:eastAsia="zh-CN"/>
        </w:rPr>
        <w:t>横断面</w:t>
      </w:r>
      <w:r>
        <w:rPr>
          <w:rFonts w:hint="eastAsia"/>
          <w:sz w:val="21"/>
          <w:highlight w:val="none"/>
        </w:rPr>
        <w:t>示意图</w:t>
      </w:r>
    </w:p>
    <w:p>
      <w:pPr>
        <w:pStyle w:val="17"/>
        <w:ind w:firstLine="0" w:firstLineChars="0"/>
        <w:jc w:val="center"/>
        <w:rPr>
          <w:highlight w:val="none"/>
        </w:rPr>
      </w:pPr>
      <w:r>
        <w:rPr>
          <w:highlight w:val="none"/>
        </w:rPr>
        <w:drawing>
          <wp:inline distT="0" distB="0" distL="114300" distR="114300">
            <wp:extent cx="5720080" cy="2589530"/>
            <wp:effectExtent l="9525" t="9525" r="15875" b="2222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10" cstate="print"/>
                    <a:srcRect t="13806" b="9280"/>
                    <a:stretch>
                      <a:fillRect/>
                    </a:stretch>
                  </pic:blipFill>
                  <pic:spPr>
                    <a:xfrm>
                      <a:off x="0" y="0"/>
                      <a:ext cx="5720080" cy="2589530"/>
                    </a:xfrm>
                    <a:prstGeom prst="rect">
                      <a:avLst/>
                    </a:prstGeom>
                    <a:noFill/>
                    <a:ln>
                      <a:solidFill>
                        <a:schemeClr val="tx1"/>
                      </a:solidFill>
                    </a:ln>
                  </pic:spPr>
                </pic:pic>
              </a:graphicData>
            </a:graphic>
          </wp:inline>
        </w:drawing>
      </w:r>
    </w:p>
    <w:p>
      <w:pPr>
        <w:pStyle w:val="7"/>
        <w:spacing w:after="156"/>
        <w:ind w:firstLine="420"/>
        <w:rPr>
          <w:rFonts w:ascii="宋体" w:hAnsi="宋体" w:cs="宋体"/>
          <w:highlight w:val="none"/>
        </w:rPr>
      </w:pPr>
      <w:r>
        <w:rPr>
          <w:sz w:val="21"/>
          <w:highlight w:val="none"/>
        </w:rPr>
        <w:t xml:space="preserve">图 </w:t>
      </w:r>
      <w:r>
        <w:rPr>
          <w:rFonts w:hint="eastAsia"/>
          <w:sz w:val="21"/>
          <w:highlight w:val="none"/>
        </w:rPr>
        <w:t>3-</w:t>
      </w:r>
      <w:r>
        <w:rPr>
          <w:sz w:val="21"/>
          <w:highlight w:val="none"/>
        </w:rPr>
        <w:fldChar w:fldCharType="begin"/>
      </w:r>
      <w:r>
        <w:rPr>
          <w:sz w:val="21"/>
          <w:highlight w:val="none"/>
        </w:rPr>
        <w:instrText xml:space="preserve"> SEQ 图 \* ARABIC \s 1 </w:instrText>
      </w:r>
      <w:r>
        <w:rPr>
          <w:sz w:val="21"/>
          <w:highlight w:val="none"/>
        </w:rPr>
        <w:fldChar w:fldCharType="separate"/>
      </w:r>
      <w:r>
        <w:rPr>
          <w:sz w:val="21"/>
          <w:highlight w:val="none"/>
        </w:rPr>
        <w:t>2</w:t>
      </w:r>
      <w:r>
        <w:rPr>
          <w:sz w:val="21"/>
          <w:highlight w:val="none"/>
        </w:rPr>
        <w:fldChar w:fldCharType="end"/>
      </w:r>
      <w:r>
        <w:rPr>
          <w:rFonts w:hint="eastAsia"/>
          <w:sz w:val="21"/>
          <w:highlight w:val="none"/>
        </w:rPr>
        <w:t xml:space="preserve"> 树木迁移、路灯拆除平面位置示意图</w:t>
      </w:r>
    </w:p>
    <w:p>
      <w:pPr>
        <w:widowControl/>
        <w:ind w:firstLine="480"/>
        <w:jc w:val="left"/>
        <w:rPr>
          <w:rFonts w:ascii="宋体" w:hAnsi="宋体" w:cs="宋体"/>
          <w:highlight w:val="none"/>
        </w:rPr>
      </w:pPr>
      <w:r>
        <w:rPr>
          <w:rFonts w:hint="eastAsia" w:ascii="宋体" w:hAnsi="宋体" w:cs="宋体"/>
          <w:highlight w:val="none"/>
        </w:rPr>
        <w:t>经现场多次踏勘放线，沿</w:t>
      </w:r>
      <w:r>
        <w:rPr>
          <w:rFonts w:hint="eastAsia" w:ascii="宋体" w:hAnsi="宋体" w:cs="宋体"/>
          <w:highlight w:val="none"/>
          <w:lang w:val="en-US" w:eastAsia="zh-CN"/>
        </w:rPr>
        <w:t>河岸</w:t>
      </w:r>
      <w:r>
        <w:rPr>
          <w:rFonts w:hint="eastAsia" w:ascii="宋体" w:hAnsi="宋体" w:cs="宋体"/>
          <w:highlight w:val="none"/>
        </w:rPr>
        <w:t>红线区域路段的</w:t>
      </w:r>
      <w:r>
        <w:rPr>
          <w:rFonts w:hint="eastAsia" w:ascii="宋体" w:hAnsi="宋体" w:cs="宋体"/>
          <w:highlight w:val="none"/>
          <w:lang w:val="en-US" w:eastAsia="zh-CN"/>
        </w:rPr>
        <w:t>苗木</w:t>
      </w:r>
      <w:r>
        <w:rPr>
          <w:rFonts w:hint="eastAsia" w:ascii="宋体" w:hAnsi="宋体" w:cs="宋体"/>
          <w:highlight w:val="none"/>
        </w:rPr>
        <w:t>、</w:t>
      </w:r>
      <w:r>
        <w:rPr>
          <w:rFonts w:hint="eastAsia" w:ascii="宋体" w:hAnsi="宋体" w:cs="宋体"/>
          <w:highlight w:val="none"/>
          <w:lang w:val="en-US" w:eastAsia="zh-CN"/>
        </w:rPr>
        <w:t>路灯</w:t>
      </w:r>
      <w:r>
        <w:rPr>
          <w:rFonts w:hint="eastAsia" w:ascii="宋体" w:hAnsi="宋体" w:cs="宋体"/>
          <w:highlight w:val="none"/>
        </w:rPr>
        <w:t>等</w:t>
      </w:r>
      <w:r>
        <w:rPr>
          <w:rFonts w:hint="eastAsia" w:ascii="宋体" w:hAnsi="宋体" w:cs="宋体"/>
          <w:highlight w:val="none"/>
          <w:lang w:val="en-US" w:eastAsia="zh-CN"/>
        </w:rPr>
        <w:t>附属物</w:t>
      </w:r>
      <w:r>
        <w:rPr>
          <w:rFonts w:hint="eastAsia" w:ascii="宋体" w:hAnsi="宋体" w:cs="宋体"/>
          <w:highlight w:val="none"/>
        </w:rPr>
        <w:t>进行清点统计如下</w:t>
      </w:r>
      <w:r>
        <w:rPr>
          <w:rFonts w:hint="eastAsia" w:ascii="宋体" w:hAnsi="宋体" w:cs="宋体"/>
          <w:highlight w:val="none"/>
          <w:lang w:val="en-US" w:eastAsia="zh-CN"/>
        </w:rPr>
        <w:t>表</w:t>
      </w:r>
      <w:r>
        <w:rPr>
          <w:rFonts w:hint="eastAsia" w:ascii="宋体" w:hAnsi="宋体" w:cs="宋体"/>
          <w:highlight w:val="none"/>
        </w:rPr>
        <w:t>：</w:t>
      </w:r>
    </w:p>
    <w:p>
      <w:pPr>
        <w:pStyle w:val="7"/>
        <w:spacing w:beforeLines="50" w:afterLines="0"/>
        <w:ind w:firstLine="480"/>
        <w:rPr>
          <w:sz w:val="21"/>
          <w:szCs w:val="21"/>
          <w:highlight w:val="none"/>
        </w:rPr>
      </w:pPr>
      <w:r>
        <w:rPr>
          <w:sz w:val="21"/>
          <w:szCs w:val="21"/>
          <w:highlight w:val="none"/>
        </w:rPr>
        <w:t xml:space="preserve">表 </w:t>
      </w:r>
      <w:r>
        <w:rPr>
          <w:rFonts w:hint="eastAsia"/>
          <w:sz w:val="21"/>
          <w:szCs w:val="21"/>
          <w:highlight w:val="none"/>
        </w:rPr>
        <w:t>3-</w:t>
      </w:r>
      <w:r>
        <w:rPr>
          <w:sz w:val="21"/>
          <w:szCs w:val="21"/>
          <w:highlight w:val="none"/>
        </w:rPr>
        <w:fldChar w:fldCharType="begin"/>
      </w:r>
      <w:r>
        <w:rPr>
          <w:sz w:val="21"/>
          <w:szCs w:val="21"/>
          <w:highlight w:val="none"/>
        </w:rPr>
        <w:instrText xml:space="preserve"> SEQ 表 \* ARABIC \s 1 </w:instrText>
      </w:r>
      <w:r>
        <w:rPr>
          <w:sz w:val="21"/>
          <w:szCs w:val="21"/>
          <w:highlight w:val="none"/>
        </w:rPr>
        <w:fldChar w:fldCharType="separate"/>
      </w:r>
      <w:r>
        <w:rPr>
          <w:sz w:val="21"/>
          <w:szCs w:val="21"/>
          <w:highlight w:val="none"/>
        </w:rPr>
        <w:t>1</w:t>
      </w:r>
      <w:r>
        <w:rPr>
          <w:sz w:val="21"/>
          <w:szCs w:val="21"/>
          <w:highlight w:val="none"/>
        </w:rPr>
        <w:fldChar w:fldCharType="end"/>
      </w:r>
      <w:r>
        <w:rPr>
          <w:rFonts w:hint="eastAsia"/>
          <w:sz w:val="21"/>
          <w:szCs w:val="21"/>
          <w:highlight w:val="none"/>
        </w:rPr>
        <w:t>黎湛铁路～人民大道中现状苗木统计表</w:t>
      </w:r>
    </w:p>
    <w:tbl>
      <w:tblPr>
        <w:tblStyle w:val="19"/>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140"/>
        <w:gridCol w:w="648"/>
        <w:gridCol w:w="1294"/>
        <w:gridCol w:w="866"/>
        <w:gridCol w:w="606"/>
        <w:gridCol w:w="1225"/>
        <w:gridCol w:w="648"/>
        <w:gridCol w:w="1294"/>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ascii="宋体" w:hAnsi="宋体" w:cs="宋体"/>
                <w:color w:val="000000"/>
                <w:sz w:val="18"/>
                <w:szCs w:val="21"/>
                <w:highlight w:val="none"/>
              </w:rPr>
            </w:pPr>
            <w:r>
              <w:rPr>
                <w:rFonts w:hint="eastAsia" w:ascii="宋体" w:hAnsi="宋体" w:cs="宋体"/>
                <w:color w:val="000000"/>
                <w:kern w:val="0"/>
                <w:sz w:val="18"/>
                <w:szCs w:val="21"/>
                <w:highlight w:val="none"/>
              </w:rPr>
              <w:t>序号</w:t>
            </w:r>
          </w:p>
        </w:tc>
        <w:tc>
          <w:tcPr>
            <w:tcW w:w="1140" w:type="dxa"/>
            <w:shd w:val="clear" w:color="auto" w:fill="auto"/>
            <w:noWrap/>
            <w:vAlign w:val="center"/>
          </w:tcPr>
          <w:p>
            <w:pPr>
              <w:widowControl/>
              <w:ind w:firstLine="0" w:firstLineChars="0"/>
              <w:jc w:val="center"/>
              <w:textAlignment w:val="center"/>
              <w:rPr>
                <w:rFonts w:ascii="宋体" w:hAnsi="宋体" w:cs="宋体"/>
                <w:color w:val="000000"/>
                <w:sz w:val="18"/>
                <w:szCs w:val="21"/>
                <w:highlight w:val="none"/>
              </w:rPr>
            </w:pPr>
            <w:r>
              <w:rPr>
                <w:rFonts w:hint="eastAsia" w:ascii="宋体" w:hAnsi="宋体" w:cs="宋体"/>
                <w:color w:val="000000"/>
                <w:kern w:val="0"/>
                <w:sz w:val="18"/>
                <w:szCs w:val="21"/>
                <w:highlight w:val="none"/>
              </w:rPr>
              <w:t>名称</w:t>
            </w:r>
          </w:p>
        </w:tc>
        <w:tc>
          <w:tcPr>
            <w:tcW w:w="648" w:type="dxa"/>
            <w:shd w:val="clear" w:color="auto" w:fill="auto"/>
            <w:noWrap/>
            <w:vAlign w:val="center"/>
          </w:tcPr>
          <w:p>
            <w:pPr>
              <w:widowControl/>
              <w:ind w:firstLine="0" w:firstLineChars="0"/>
              <w:jc w:val="center"/>
              <w:textAlignment w:val="center"/>
              <w:rPr>
                <w:rFonts w:ascii="宋体" w:hAnsi="宋体" w:cs="宋体"/>
                <w:color w:val="000000"/>
                <w:sz w:val="18"/>
                <w:szCs w:val="21"/>
                <w:highlight w:val="none"/>
              </w:rPr>
            </w:pPr>
            <w:r>
              <w:rPr>
                <w:rFonts w:hint="eastAsia" w:ascii="宋体" w:hAnsi="宋体" w:cs="宋体"/>
                <w:color w:val="000000"/>
                <w:kern w:val="0"/>
                <w:sz w:val="18"/>
                <w:szCs w:val="21"/>
                <w:highlight w:val="none"/>
              </w:rPr>
              <w:t>编号</w:t>
            </w:r>
          </w:p>
        </w:tc>
        <w:tc>
          <w:tcPr>
            <w:tcW w:w="1294" w:type="dxa"/>
            <w:shd w:val="clear" w:color="auto" w:fill="auto"/>
            <w:noWrap/>
            <w:vAlign w:val="center"/>
          </w:tcPr>
          <w:p>
            <w:pPr>
              <w:widowControl/>
              <w:ind w:firstLine="0" w:firstLineChars="0"/>
              <w:jc w:val="center"/>
              <w:textAlignment w:val="center"/>
              <w:rPr>
                <w:rFonts w:ascii="宋体" w:hAnsi="宋体" w:cs="宋体"/>
                <w:color w:val="000000"/>
                <w:sz w:val="18"/>
                <w:szCs w:val="21"/>
                <w:highlight w:val="none"/>
              </w:rPr>
            </w:pPr>
            <w:r>
              <w:rPr>
                <w:rFonts w:hint="eastAsia" w:ascii="宋体" w:hAnsi="宋体" w:cs="宋体"/>
                <w:color w:val="000000"/>
                <w:kern w:val="0"/>
                <w:sz w:val="18"/>
                <w:szCs w:val="21"/>
                <w:highlight w:val="none"/>
              </w:rPr>
              <w:t>胸径（cm）</w:t>
            </w:r>
          </w:p>
        </w:tc>
        <w:tc>
          <w:tcPr>
            <w:tcW w:w="866" w:type="dxa"/>
            <w:shd w:val="clear" w:color="auto" w:fill="auto"/>
            <w:noWrap/>
            <w:vAlign w:val="center"/>
          </w:tcPr>
          <w:p>
            <w:pPr>
              <w:widowControl/>
              <w:ind w:firstLine="0" w:firstLineChars="0"/>
              <w:jc w:val="center"/>
              <w:textAlignment w:val="center"/>
              <w:rPr>
                <w:rFonts w:ascii="宋体" w:hAnsi="宋体" w:cs="宋体"/>
                <w:color w:val="000000"/>
                <w:sz w:val="18"/>
                <w:szCs w:val="21"/>
                <w:highlight w:val="none"/>
              </w:rPr>
            </w:pPr>
            <w:r>
              <w:rPr>
                <w:rFonts w:hint="eastAsia" w:ascii="宋体" w:hAnsi="宋体" w:cs="宋体"/>
                <w:color w:val="000000"/>
                <w:kern w:val="0"/>
                <w:sz w:val="18"/>
                <w:szCs w:val="21"/>
                <w:highlight w:val="none"/>
              </w:rPr>
              <w:t>数量/株</w:t>
            </w:r>
          </w:p>
        </w:tc>
        <w:tc>
          <w:tcPr>
            <w:tcW w:w="606" w:type="dxa"/>
            <w:shd w:val="clear" w:color="auto" w:fill="auto"/>
            <w:noWrap/>
            <w:vAlign w:val="center"/>
          </w:tcPr>
          <w:p>
            <w:pPr>
              <w:widowControl/>
              <w:ind w:firstLine="0" w:firstLineChars="0"/>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序号</w:t>
            </w:r>
          </w:p>
        </w:tc>
        <w:tc>
          <w:tcPr>
            <w:tcW w:w="1225" w:type="dxa"/>
            <w:shd w:val="clear" w:color="auto" w:fill="auto"/>
            <w:noWrap/>
            <w:vAlign w:val="center"/>
          </w:tcPr>
          <w:p>
            <w:pPr>
              <w:widowControl/>
              <w:ind w:firstLine="0" w:firstLineChars="0"/>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名称</w:t>
            </w:r>
          </w:p>
        </w:tc>
        <w:tc>
          <w:tcPr>
            <w:tcW w:w="648" w:type="dxa"/>
            <w:shd w:val="clear" w:color="auto" w:fill="auto"/>
            <w:noWrap/>
            <w:vAlign w:val="center"/>
          </w:tcPr>
          <w:p>
            <w:pPr>
              <w:widowControl/>
              <w:ind w:firstLine="0" w:firstLineChars="0"/>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编号</w:t>
            </w:r>
          </w:p>
        </w:tc>
        <w:tc>
          <w:tcPr>
            <w:tcW w:w="1294" w:type="dxa"/>
            <w:shd w:val="clear" w:color="auto" w:fill="auto"/>
            <w:noWrap/>
            <w:vAlign w:val="center"/>
          </w:tcPr>
          <w:p>
            <w:pPr>
              <w:widowControl/>
              <w:ind w:firstLine="0" w:firstLineChars="0"/>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胸径（cm）</w:t>
            </w:r>
          </w:p>
        </w:tc>
        <w:tc>
          <w:tcPr>
            <w:tcW w:w="977" w:type="dxa"/>
            <w:shd w:val="clear" w:color="auto" w:fill="auto"/>
            <w:noWrap/>
            <w:vAlign w:val="center"/>
          </w:tcPr>
          <w:p>
            <w:pPr>
              <w:widowControl/>
              <w:ind w:firstLine="0" w:firstLineChars="0"/>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数量/株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w:t>
            </w:r>
          </w:p>
        </w:tc>
        <w:tc>
          <w:tcPr>
            <w:tcW w:w="1140" w:type="dxa"/>
            <w:vMerge w:val="restart"/>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串线柳</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13</w:t>
            </w:r>
          </w:p>
        </w:tc>
        <w:tc>
          <w:tcPr>
            <w:tcW w:w="866"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w:t>
            </w:r>
          </w:p>
        </w:tc>
        <w:tc>
          <w:tcPr>
            <w:tcW w:w="1225" w:type="dxa"/>
            <w:vMerge w:val="restart"/>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宫粉羊蹄甲</w:t>
            </w:r>
          </w:p>
        </w:tc>
        <w:tc>
          <w:tcPr>
            <w:tcW w:w="648"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15～18</w:t>
            </w:r>
          </w:p>
        </w:tc>
        <w:tc>
          <w:tcPr>
            <w:tcW w:w="866"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9</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w:t>
            </w:r>
            <w:r>
              <w:rPr>
                <w:rFonts w:hint="eastAsia" w:ascii="宋体" w:hAnsi="宋体" w:cs="宋体"/>
                <w:color w:val="000000"/>
                <w:kern w:val="0"/>
                <w:sz w:val="18"/>
                <w:szCs w:val="21"/>
                <w:highlight w:val="none"/>
                <w:lang w:val="en-US" w:eastAsia="zh-CN"/>
              </w:rPr>
              <w:t>～14</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3</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19～21</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14</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16</w:t>
            </w:r>
            <w:r>
              <w:rPr>
                <w:rFonts w:hint="eastAsia" w:ascii="宋体" w:hAnsi="宋体" w:cs="宋体"/>
                <w:color w:val="000000"/>
                <w:kern w:val="0"/>
                <w:sz w:val="18"/>
                <w:szCs w:val="21"/>
                <w:highlight w:val="none"/>
                <w:lang w:val="en-US" w:eastAsia="zh-CN"/>
              </w:rPr>
              <w:t>～19</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4</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22～24</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3</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w:t>
            </w:r>
            <w:r>
              <w:rPr>
                <w:rFonts w:hint="eastAsia" w:ascii="宋体" w:hAnsi="宋体" w:cs="宋体"/>
                <w:color w:val="000000"/>
                <w:kern w:val="0"/>
                <w:sz w:val="18"/>
                <w:szCs w:val="21"/>
                <w:highlight w:val="none"/>
                <w:lang w:val="en-US" w:eastAsia="zh-CN"/>
              </w:rPr>
              <w:t>～23</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5</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E</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30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27</w:t>
            </w:r>
          </w:p>
        </w:tc>
        <w:tc>
          <w:tcPr>
            <w:tcW w:w="1225" w:type="dxa"/>
            <w:vMerge w:val="restart"/>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eastAsia="zh-CN"/>
              </w:rPr>
            </w:pPr>
            <w:r>
              <w:rPr>
                <w:rFonts w:hint="eastAsia" w:ascii="宋体" w:hAnsi="宋体" w:cs="宋体"/>
                <w:color w:val="000000"/>
                <w:kern w:val="0"/>
                <w:sz w:val="18"/>
                <w:szCs w:val="18"/>
                <w:highlight w:val="none"/>
                <w:lang w:eastAsia="zh-CN"/>
              </w:rPr>
              <w:t>白花</w:t>
            </w:r>
            <w:r>
              <w:rPr>
                <w:rFonts w:hint="eastAsia" w:ascii="宋体" w:hAnsi="宋体" w:cs="宋体"/>
                <w:color w:val="000000"/>
                <w:kern w:val="0"/>
                <w:sz w:val="18"/>
                <w:szCs w:val="18"/>
                <w:highlight w:val="none"/>
                <w:lang w:val="en-US" w:eastAsia="zh-CN"/>
              </w:rPr>
              <w:t>羊蹄甲</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8</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6</w:t>
            </w:r>
          </w:p>
        </w:tc>
        <w:tc>
          <w:tcPr>
            <w:tcW w:w="1140" w:type="dxa"/>
            <w:vMerge w:val="restart"/>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红花羊蹄甲</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8～10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6</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28</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9</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7</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11～15</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18</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29</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10</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8</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16～20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56</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30</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9</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21～25</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41</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31</w:t>
            </w:r>
          </w:p>
        </w:tc>
        <w:tc>
          <w:tcPr>
            <w:tcW w:w="1225" w:type="dxa"/>
            <w:vMerge w:val="restart"/>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eastAsia="zh-CN"/>
              </w:rPr>
            </w:pPr>
            <w:r>
              <w:rPr>
                <w:rFonts w:hint="eastAsia" w:ascii="宋体" w:hAnsi="宋体" w:cs="宋体"/>
                <w:color w:val="000000"/>
                <w:kern w:val="0"/>
                <w:sz w:val="18"/>
                <w:szCs w:val="18"/>
                <w:highlight w:val="none"/>
                <w:lang w:eastAsia="zh-CN"/>
              </w:rPr>
              <w:t>小叶揽仁</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w:t>
            </w:r>
            <w:r>
              <w:rPr>
                <w:rFonts w:hint="eastAsia" w:ascii="宋体" w:hAnsi="宋体" w:cs="宋体"/>
                <w:color w:val="000000"/>
                <w:kern w:val="0"/>
                <w:sz w:val="18"/>
                <w:szCs w:val="21"/>
                <w:highlight w:val="none"/>
                <w:lang w:val="en-US" w:eastAsia="zh-CN"/>
              </w:rPr>
              <w:t>～20</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10</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E</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26～30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15</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32</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w:t>
            </w:r>
            <w:r>
              <w:rPr>
                <w:rFonts w:hint="eastAsia" w:ascii="宋体" w:hAnsi="宋体" w:cs="宋体"/>
                <w:color w:val="000000"/>
                <w:kern w:val="0"/>
                <w:sz w:val="18"/>
                <w:szCs w:val="21"/>
                <w:highlight w:val="none"/>
                <w:lang w:val="en-US" w:eastAsia="zh-CN"/>
              </w:rPr>
              <w:t>～25</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11</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F</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31～33</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6</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33</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27</w:t>
            </w:r>
            <w:r>
              <w:rPr>
                <w:rFonts w:hint="eastAsia" w:ascii="宋体" w:hAnsi="宋体" w:cs="宋体"/>
                <w:color w:val="000000"/>
                <w:kern w:val="0"/>
                <w:sz w:val="18"/>
                <w:szCs w:val="21"/>
                <w:highlight w:val="none"/>
                <w:lang w:val="en-US" w:eastAsia="zh-CN"/>
              </w:rPr>
              <w:t>～29</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12</w:t>
            </w:r>
          </w:p>
        </w:tc>
        <w:tc>
          <w:tcPr>
            <w:tcW w:w="1140" w:type="dxa"/>
            <w:vMerge w:val="continue"/>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G</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39</w:t>
            </w:r>
          </w:p>
        </w:tc>
        <w:tc>
          <w:tcPr>
            <w:tcW w:w="866"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34</w:t>
            </w:r>
          </w:p>
        </w:tc>
        <w:tc>
          <w:tcPr>
            <w:tcW w:w="1225"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eastAsia="zh-CN"/>
              </w:rPr>
            </w:pPr>
            <w:r>
              <w:rPr>
                <w:rFonts w:hint="eastAsia" w:ascii="宋体" w:hAnsi="宋体" w:cs="宋体"/>
                <w:color w:val="000000"/>
                <w:kern w:val="0"/>
                <w:sz w:val="18"/>
                <w:szCs w:val="18"/>
                <w:highlight w:val="none"/>
                <w:lang w:eastAsia="zh-CN"/>
              </w:rPr>
              <w:t>盆架子</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w:t>
            </w:r>
          </w:p>
        </w:tc>
        <w:tc>
          <w:tcPr>
            <w:tcW w:w="97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13</w:t>
            </w:r>
          </w:p>
        </w:tc>
        <w:tc>
          <w:tcPr>
            <w:tcW w:w="1140" w:type="dxa"/>
            <w:vMerge w:val="restart"/>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r>
              <w:rPr>
                <w:rFonts w:hint="eastAsia" w:ascii="宋体" w:hAnsi="宋体" w:cs="宋体"/>
                <w:color w:val="000000"/>
                <w:kern w:val="0"/>
                <w:sz w:val="18"/>
                <w:szCs w:val="18"/>
                <w:highlight w:val="none"/>
                <w:lang w:eastAsia="zh-CN"/>
              </w:rPr>
              <w:t>尖叶杜英</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12</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35</w:t>
            </w:r>
          </w:p>
        </w:tc>
        <w:tc>
          <w:tcPr>
            <w:tcW w:w="1225" w:type="dxa"/>
            <w:vMerge w:val="restart"/>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eastAsia="zh-CN"/>
              </w:rPr>
            </w:pPr>
            <w:r>
              <w:rPr>
                <w:rFonts w:hint="eastAsia" w:ascii="宋体" w:hAnsi="宋体" w:cs="宋体"/>
                <w:color w:val="000000"/>
                <w:kern w:val="0"/>
                <w:sz w:val="18"/>
                <w:szCs w:val="18"/>
                <w:highlight w:val="none"/>
                <w:lang w:eastAsia="zh-CN"/>
              </w:rPr>
              <w:t>合计</w:t>
            </w:r>
          </w:p>
        </w:tc>
        <w:tc>
          <w:tcPr>
            <w:tcW w:w="2919" w:type="dxa"/>
            <w:gridSpan w:val="3"/>
            <w:vMerge w:val="restart"/>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14</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15～20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18</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36</w:t>
            </w:r>
          </w:p>
        </w:tc>
        <w:tc>
          <w:tcPr>
            <w:tcW w:w="1225"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2919" w:type="dxa"/>
            <w:gridSpan w:val="3"/>
            <w:vMerge w:val="continue"/>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15</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21～25</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21</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37</w:t>
            </w: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16</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26～31</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13</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38</w:t>
            </w: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17</w:t>
            </w:r>
          </w:p>
        </w:tc>
        <w:tc>
          <w:tcPr>
            <w:tcW w:w="1140" w:type="dxa"/>
            <w:vMerge w:val="restart"/>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eastAsia="zh-CN"/>
              </w:rPr>
            </w:pPr>
            <w:r>
              <w:rPr>
                <w:rFonts w:hint="eastAsia" w:ascii="宋体" w:hAnsi="宋体" w:cs="宋体"/>
                <w:color w:val="000000"/>
                <w:kern w:val="0"/>
                <w:sz w:val="18"/>
                <w:szCs w:val="21"/>
                <w:highlight w:val="none"/>
                <w:lang w:eastAsia="zh-CN"/>
              </w:rPr>
              <w:t>大叶紫薇</w:t>
            </w: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A</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8～9</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6</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39</w:t>
            </w: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18</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B</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12</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40</w:t>
            </w: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977"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19</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C</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14～17</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9</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1225"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eastAsia="zh-CN"/>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20</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D</w:t>
            </w: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18～20</w:t>
            </w:r>
          </w:p>
        </w:tc>
        <w:tc>
          <w:tcPr>
            <w:tcW w:w="86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23</w:t>
            </w:r>
          </w:p>
        </w:tc>
        <w:tc>
          <w:tcPr>
            <w:tcW w:w="606"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21</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E</w:t>
            </w:r>
          </w:p>
        </w:tc>
        <w:tc>
          <w:tcPr>
            <w:tcW w:w="1294"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21</w:t>
            </w:r>
            <w:r>
              <w:rPr>
                <w:rFonts w:hint="eastAsia" w:ascii="宋体" w:hAnsi="宋体" w:cs="宋体"/>
                <w:color w:val="000000"/>
                <w:kern w:val="0"/>
                <w:sz w:val="18"/>
                <w:szCs w:val="21"/>
                <w:highlight w:val="none"/>
                <w:lang w:val="en-US" w:eastAsia="zh-CN"/>
              </w:rPr>
              <w:t>～22</w:t>
            </w:r>
          </w:p>
        </w:tc>
        <w:tc>
          <w:tcPr>
            <w:tcW w:w="866"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6</w:t>
            </w:r>
          </w:p>
        </w:tc>
        <w:tc>
          <w:tcPr>
            <w:tcW w:w="606"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lang w:val="en-US" w:eastAsia="zh-CN"/>
              </w:rPr>
            </w:pP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dxa"/>
            <w:shd w:val="clear" w:color="auto" w:fill="auto"/>
            <w:noWrap/>
            <w:vAlign w:val="center"/>
          </w:tcPr>
          <w:p>
            <w:pPr>
              <w:widowControl/>
              <w:ind w:firstLine="0" w:firstLineChars="0"/>
              <w:jc w:val="center"/>
              <w:textAlignment w:val="center"/>
              <w:rPr>
                <w:rFonts w:hint="default" w:ascii="宋体" w:hAnsi="宋体" w:cs="宋体"/>
                <w:color w:val="000000"/>
                <w:kern w:val="0"/>
                <w:sz w:val="18"/>
                <w:szCs w:val="21"/>
                <w:highlight w:val="none"/>
                <w:lang w:val="en-US" w:eastAsia="zh-CN"/>
              </w:rPr>
            </w:pPr>
            <w:r>
              <w:rPr>
                <w:rFonts w:hint="eastAsia" w:ascii="宋体" w:hAnsi="宋体" w:cs="宋体"/>
                <w:color w:val="000000"/>
                <w:kern w:val="0"/>
                <w:sz w:val="18"/>
                <w:szCs w:val="21"/>
                <w:highlight w:val="none"/>
                <w:lang w:val="en-US" w:eastAsia="zh-CN"/>
              </w:rPr>
              <w:t>22</w:t>
            </w:r>
          </w:p>
        </w:tc>
        <w:tc>
          <w:tcPr>
            <w:tcW w:w="1140" w:type="dxa"/>
            <w:vMerge w:val="continue"/>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F</w:t>
            </w:r>
          </w:p>
        </w:tc>
        <w:tc>
          <w:tcPr>
            <w:tcW w:w="1294"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24</w:t>
            </w:r>
            <w:r>
              <w:rPr>
                <w:rFonts w:hint="eastAsia" w:ascii="宋体" w:hAnsi="宋体" w:cs="宋体"/>
                <w:color w:val="000000"/>
                <w:kern w:val="0"/>
                <w:sz w:val="18"/>
                <w:szCs w:val="21"/>
                <w:highlight w:val="none"/>
                <w:lang w:val="en-US" w:eastAsia="zh-CN"/>
              </w:rPr>
              <w:t>～25</w:t>
            </w:r>
          </w:p>
        </w:tc>
        <w:tc>
          <w:tcPr>
            <w:tcW w:w="866"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21"/>
                <w:highlight w:val="none"/>
                <w:lang w:val="en-US" w:eastAsia="zh-CN"/>
              </w:rPr>
            </w:pPr>
            <w:r>
              <w:rPr>
                <w:rFonts w:hint="eastAsia" w:ascii="宋体" w:hAnsi="宋体" w:cs="宋体"/>
                <w:color w:val="000000"/>
                <w:kern w:val="0"/>
                <w:sz w:val="18"/>
                <w:szCs w:val="18"/>
                <w:highlight w:val="none"/>
                <w:lang w:val="en-US" w:eastAsia="zh-CN"/>
              </w:rPr>
              <w:t>2</w:t>
            </w:r>
          </w:p>
        </w:tc>
        <w:tc>
          <w:tcPr>
            <w:tcW w:w="606"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lang w:val="en-US" w:eastAsia="zh-CN"/>
              </w:rPr>
            </w:pPr>
          </w:p>
        </w:tc>
        <w:tc>
          <w:tcPr>
            <w:tcW w:w="1225" w:type="dxa"/>
            <w:shd w:val="clear" w:color="auto" w:fill="auto"/>
            <w:noWrap/>
            <w:vAlign w:val="center"/>
          </w:tcPr>
          <w:p>
            <w:pPr>
              <w:widowControl/>
              <w:ind w:firstLine="0" w:firstLineChars="0"/>
              <w:jc w:val="center"/>
              <w:textAlignment w:val="center"/>
              <w:rPr>
                <w:rFonts w:hint="eastAsia" w:ascii="宋体" w:hAnsi="宋体" w:cs="宋体"/>
                <w:color w:val="000000"/>
                <w:kern w:val="0"/>
                <w:sz w:val="18"/>
                <w:szCs w:val="18"/>
                <w:highlight w:val="none"/>
              </w:rPr>
            </w:pPr>
          </w:p>
        </w:tc>
        <w:tc>
          <w:tcPr>
            <w:tcW w:w="648"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c>
          <w:tcPr>
            <w:tcW w:w="1294" w:type="dxa"/>
            <w:shd w:val="clear" w:color="auto" w:fill="auto"/>
            <w:noWrap/>
            <w:vAlign w:val="center"/>
          </w:tcPr>
          <w:p>
            <w:pPr>
              <w:widowControl/>
              <w:ind w:firstLine="0" w:firstLineChars="0"/>
              <w:jc w:val="center"/>
              <w:textAlignment w:val="center"/>
              <w:rPr>
                <w:rFonts w:hint="default" w:ascii="宋体" w:hAnsi="宋体" w:eastAsia="宋体" w:cs="宋体"/>
                <w:color w:val="000000"/>
                <w:kern w:val="0"/>
                <w:sz w:val="18"/>
                <w:szCs w:val="18"/>
                <w:highlight w:val="none"/>
                <w:lang w:val="en-US" w:eastAsia="zh-CN"/>
              </w:rPr>
            </w:pPr>
          </w:p>
        </w:tc>
        <w:tc>
          <w:tcPr>
            <w:tcW w:w="977" w:type="dxa"/>
            <w:shd w:val="clear" w:color="auto" w:fill="auto"/>
            <w:noWrap/>
            <w:vAlign w:val="center"/>
          </w:tcPr>
          <w:p>
            <w:pPr>
              <w:widowControl/>
              <w:ind w:firstLine="0" w:firstLineChars="0"/>
              <w:jc w:val="center"/>
              <w:textAlignment w:val="center"/>
              <w:rPr>
                <w:rFonts w:hint="eastAsia" w:ascii="宋体" w:hAnsi="宋体" w:eastAsia="宋体" w:cs="宋体"/>
                <w:color w:val="000000"/>
                <w:kern w:val="0"/>
                <w:sz w:val="18"/>
                <w:szCs w:val="18"/>
                <w:highlight w:val="none"/>
                <w:lang w:val="en-US" w:eastAsia="zh-CN"/>
              </w:rPr>
            </w:pPr>
          </w:p>
        </w:tc>
      </w:tr>
    </w:tbl>
    <w:p>
      <w:pPr>
        <w:pStyle w:val="7"/>
        <w:spacing w:beforeLines="50" w:afterLines="0"/>
        <w:ind w:left="0" w:leftChars="0" w:firstLine="0" w:firstLineChars="0"/>
        <w:jc w:val="both"/>
        <w:rPr>
          <w:sz w:val="21"/>
          <w:szCs w:val="21"/>
          <w:highlight w:val="none"/>
        </w:rPr>
      </w:pPr>
    </w:p>
    <w:p>
      <w:pPr>
        <w:pStyle w:val="7"/>
        <w:spacing w:beforeLines="50" w:afterLines="0"/>
        <w:ind w:firstLine="480"/>
        <w:rPr>
          <w:sz w:val="21"/>
          <w:szCs w:val="21"/>
          <w:highlight w:val="none"/>
        </w:rPr>
      </w:pPr>
    </w:p>
    <w:p>
      <w:pPr>
        <w:pStyle w:val="7"/>
        <w:spacing w:beforeLines="50" w:afterLines="0"/>
        <w:ind w:firstLine="480"/>
        <w:rPr>
          <w:sz w:val="21"/>
          <w:szCs w:val="21"/>
          <w:highlight w:val="none"/>
        </w:rPr>
      </w:pPr>
      <w:r>
        <w:rPr>
          <w:sz w:val="21"/>
          <w:szCs w:val="21"/>
          <w:highlight w:val="none"/>
        </w:rPr>
        <w:t xml:space="preserve">表 </w:t>
      </w:r>
      <w:r>
        <w:rPr>
          <w:rFonts w:hint="eastAsia"/>
          <w:sz w:val="21"/>
          <w:szCs w:val="21"/>
          <w:highlight w:val="none"/>
        </w:rPr>
        <w:t>3-</w:t>
      </w:r>
      <w:r>
        <w:rPr>
          <w:sz w:val="21"/>
          <w:szCs w:val="21"/>
          <w:highlight w:val="none"/>
        </w:rPr>
        <w:fldChar w:fldCharType="begin"/>
      </w:r>
      <w:r>
        <w:rPr>
          <w:sz w:val="21"/>
          <w:szCs w:val="21"/>
          <w:highlight w:val="none"/>
        </w:rPr>
        <w:instrText xml:space="preserve"> SEQ 表 \* ARABIC \s 1 </w:instrText>
      </w:r>
      <w:r>
        <w:rPr>
          <w:sz w:val="21"/>
          <w:szCs w:val="21"/>
          <w:highlight w:val="none"/>
        </w:rPr>
        <w:fldChar w:fldCharType="separate"/>
      </w:r>
      <w:r>
        <w:rPr>
          <w:sz w:val="21"/>
          <w:szCs w:val="21"/>
          <w:highlight w:val="none"/>
        </w:rPr>
        <w:t>2</w:t>
      </w:r>
      <w:r>
        <w:rPr>
          <w:sz w:val="21"/>
          <w:szCs w:val="21"/>
          <w:highlight w:val="none"/>
        </w:rPr>
        <w:fldChar w:fldCharType="end"/>
      </w:r>
      <w:r>
        <w:rPr>
          <w:rFonts w:hint="eastAsia"/>
          <w:sz w:val="21"/>
          <w:szCs w:val="21"/>
          <w:highlight w:val="none"/>
        </w:rPr>
        <w:t xml:space="preserve"> 黎湛铁路～人民大道中现状路灯统计表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748"/>
        <w:gridCol w:w="2894"/>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0"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序号</w:t>
            </w:r>
          </w:p>
        </w:tc>
        <w:tc>
          <w:tcPr>
            <w:tcW w:w="1748"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名称</w:t>
            </w:r>
          </w:p>
        </w:tc>
        <w:tc>
          <w:tcPr>
            <w:tcW w:w="289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高度/ｍ</w:t>
            </w:r>
          </w:p>
        </w:tc>
        <w:tc>
          <w:tcPr>
            <w:tcW w:w="232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数量、盏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0"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1</w:t>
            </w:r>
          </w:p>
        </w:tc>
        <w:tc>
          <w:tcPr>
            <w:tcW w:w="1748"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普通路灯</w:t>
            </w:r>
          </w:p>
        </w:tc>
        <w:tc>
          <w:tcPr>
            <w:tcW w:w="289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3.3</w:t>
            </w:r>
          </w:p>
        </w:tc>
        <w:tc>
          <w:tcPr>
            <w:tcW w:w="232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0"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2</w:t>
            </w:r>
          </w:p>
        </w:tc>
        <w:tc>
          <w:tcPr>
            <w:tcW w:w="1748"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高柱路灯</w:t>
            </w:r>
          </w:p>
        </w:tc>
        <w:tc>
          <w:tcPr>
            <w:tcW w:w="289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6</w:t>
            </w:r>
          </w:p>
        </w:tc>
        <w:tc>
          <w:tcPr>
            <w:tcW w:w="232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2" w:type="dxa"/>
            <w:gridSpan w:val="3"/>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合计</w:t>
            </w:r>
          </w:p>
        </w:tc>
        <w:tc>
          <w:tcPr>
            <w:tcW w:w="2324" w:type="dxa"/>
            <w:vAlign w:val="center"/>
          </w:tcPr>
          <w:p>
            <w:pPr>
              <w:widowControl/>
              <w:ind w:firstLine="0" w:firstLineChars="0"/>
              <w:jc w:val="center"/>
              <w:textAlignment w:val="center"/>
              <w:rPr>
                <w:rFonts w:ascii="宋体" w:hAnsi="宋体" w:cs="宋体"/>
                <w:color w:val="000000"/>
                <w:kern w:val="0"/>
                <w:sz w:val="18"/>
                <w:szCs w:val="21"/>
                <w:highlight w:val="none"/>
              </w:rPr>
            </w:pPr>
            <w:r>
              <w:rPr>
                <w:rFonts w:hint="eastAsia" w:ascii="宋体" w:hAnsi="宋体" w:cs="宋体"/>
                <w:color w:val="000000"/>
                <w:kern w:val="0"/>
                <w:sz w:val="18"/>
                <w:szCs w:val="21"/>
                <w:highlight w:val="none"/>
              </w:rPr>
              <w:t>94</w:t>
            </w:r>
          </w:p>
        </w:tc>
      </w:tr>
    </w:tbl>
    <w:p>
      <w:pPr>
        <w:ind w:firstLine="480"/>
        <w:rPr>
          <w:highlight w:val="none"/>
        </w:rPr>
      </w:pPr>
    </w:p>
    <w:p>
      <w:pPr>
        <w:pStyle w:val="17"/>
        <w:ind w:firstLine="240"/>
        <w:rPr>
          <w:highlight w:val="none"/>
        </w:rPr>
      </w:pPr>
    </w:p>
    <w:p>
      <w:pPr>
        <w:pStyle w:val="17"/>
        <w:ind w:firstLine="240"/>
        <w:rPr>
          <w:highlight w:val="none"/>
        </w:rPr>
      </w:pP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需迁移树木、拆除路灯现状照片：</w:t>
      </w:r>
    </w:p>
    <w:tbl>
      <w:tblPr>
        <w:tblStyle w:val="20"/>
        <w:tblpPr w:leftFromText="180" w:rightFromText="180" w:vertAnchor="text" w:horzAnchor="page" w:tblpXSpec="center" w:tblpY="46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5"/>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2" w:hRule="atLeast"/>
          <w:jc w:val="center"/>
        </w:trPr>
        <w:tc>
          <w:tcPr>
            <w:tcW w:w="2448"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3874770"/>
                  <wp:effectExtent l="0" t="0" r="5715" b="11430"/>
                  <wp:docPr id="4" name="图片 4" descr="22f00277ff8f8922ecb1581d3cc0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f00277ff8f8922ecb1581d3cc0a37"/>
                          <pic:cNvPicPr>
                            <a:picLocks noChangeAspect="1"/>
                          </pic:cNvPicPr>
                        </pic:nvPicPr>
                        <pic:blipFill>
                          <a:blip r:embed="rId28" cstate="print"/>
                          <a:stretch>
                            <a:fillRect/>
                          </a:stretch>
                        </pic:blipFill>
                        <pic:spPr>
                          <a:xfrm>
                            <a:off x="0" y="0"/>
                            <a:ext cx="2722245" cy="3874770"/>
                          </a:xfrm>
                          <a:prstGeom prst="rect">
                            <a:avLst/>
                          </a:prstGeom>
                        </pic:spPr>
                      </pic:pic>
                    </a:graphicData>
                  </a:graphic>
                </wp:inline>
              </w:drawing>
            </w:r>
          </w:p>
        </w:tc>
        <w:tc>
          <w:tcPr>
            <w:tcW w:w="2551"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3905885"/>
                  <wp:effectExtent l="0" t="0" r="5715" b="10795"/>
                  <wp:docPr id="8" name="图片 8" descr="763e315a224704351f805d35259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3e315a224704351f805d352592145"/>
                          <pic:cNvPicPr>
                            <a:picLocks noChangeAspect="1"/>
                          </pic:cNvPicPr>
                        </pic:nvPicPr>
                        <pic:blipFill>
                          <a:blip r:embed="rId29" cstate="print"/>
                          <a:stretch>
                            <a:fillRect/>
                          </a:stretch>
                        </pic:blipFill>
                        <pic:spPr>
                          <a:xfrm>
                            <a:off x="0" y="0"/>
                            <a:ext cx="2722245" cy="3905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0" w:hRule="atLeast"/>
          <w:jc w:val="center"/>
        </w:trPr>
        <w:tc>
          <w:tcPr>
            <w:tcW w:w="2448"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3883025"/>
                  <wp:effectExtent l="0" t="0" r="5715" b="3175"/>
                  <wp:docPr id="11" name="图片 11" descr="0403be786c99f84db9a7fa72ff9b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03be786c99f84db9a7fa72ff9b4c8"/>
                          <pic:cNvPicPr>
                            <a:picLocks noChangeAspect="1"/>
                          </pic:cNvPicPr>
                        </pic:nvPicPr>
                        <pic:blipFill>
                          <a:blip r:embed="rId30" cstate="print"/>
                          <a:stretch>
                            <a:fillRect/>
                          </a:stretch>
                        </pic:blipFill>
                        <pic:spPr>
                          <a:xfrm>
                            <a:off x="0" y="0"/>
                            <a:ext cx="2722245" cy="3883025"/>
                          </a:xfrm>
                          <a:prstGeom prst="rect">
                            <a:avLst/>
                          </a:prstGeom>
                        </pic:spPr>
                      </pic:pic>
                    </a:graphicData>
                  </a:graphic>
                </wp:inline>
              </w:drawing>
            </w:r>
          </w:p>
        </w:tc>
        <w:tc>
          <w:tcPr>
            <w:tcW w:w="2551"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3914140"/>
                  <wp:effectExtent l="0" t="0" r="5715" b="2540"/>
                  <wp:docPr id="14" name="图片 14" descr="452fa36421c5871c98029ff7ff49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2fa36421c5871c98029ff7ff4943f"/>
                          <pic:cNvPicPr>
                            <a:picLocks noChangeAspect="1"/>
                          </pic:cNvPicPr>
                        </pic:nvPicPr>
                        <pic:blipFill>
                          <a:blip r:embed="rId31" cstate="print"/>
                          <a:stretch>
                            <a:fillRect/>
                          </a:stretch>
                        </pic:blipFill>
                        <pic:spPr>
                          <a:xfrm>
                            <a:off x="0" y="0"/>
                            <a:ext cx="2722245" cy="3914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2643505"/>
                  <wp:effectExtent l="0" t="0" r="5715" b="8255"/>
                  <wp:docPr id="15" name="图片 15" descr="3c1a383ab013c2324741f64eff6d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c1a383ab013c2324741f64eff6d74b"/>
                          <pic:cNvPicPr>
                            <a:picLocks noChangeAspect="1"/>
                          </pic:cNvPicPr>
                        </pic:nvPicPr>
                        <pic:blipFill>
                          <a:blip r:embed="rId32" cstate="print"/>
                          <a:stretch>
                            <a:fillRect/>
                          </a:stretch>
                        </pic:blipFill>
                        <pic:spPr>
                          <a:xfrm>
                            <a:off x="0" y="0"/>
                            <a:ext cx="2722245" cy="2643505"/>
                          </a:xfrm>
                          <a:prstGeom prst="rect">
                            <a:avLst/>
                          </a:prstGeom>
                        </pic:spPr>
                      </pic:pic>
                    </a:graphicData>
                  </a:graphic>
                </wp:inline>
              </w:drawing>
            </w:r>
          </w:p>
        </w:tc>
        <w:tc>
          <w:tcPr>
            <w:tcW w:w="2551"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722245" cy="2703195"/>
                  <wp:effectExtent l="0" t="0" r="5715" b="9525"/>
                  <wp:docPr id="16" name="图片 16" descr="4b52bcbf64f0fd8fb88e98bae3b0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b52bcbf64f0fd8fb88e98bae3b0fce"/>
                          <pic:cNvPicPr>
                            <a:picLocks noChangeAspect="1"/>
                          </pic:cNvPicPr>
                        </pic:nvPicPr>
                        <pic:blipFill>
                          <a:blip r:embed="rId33" cstate="print"/>
                          <a:stretch>
                            <a:fillRect/>
                          </a:stretch>
                        </pic:blipFill>
                        <pic:spPr>
                          <a:xfrm>
                            <a:off x="0" y="0"/>
                            <a:ext cx="2722245" cy="2703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9" w:hRule="atLeast"/>
          <w:jc w:val="center"/>
        </w:trPr>
        <w:tc>
          <w:tcPr>
            <w:tcW w:w="2448"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578735" cy="2639060"/>
                  <wp:effectExtent l="0" t="0" r="12065" b="12700"/>
                  <wp:docPr id="22" name="图片 22" descr="c6647a811fb84082dea3c67fe702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6647a811fb84082dea3c67fe70274d"/>
                          <pic:cNvPicPr>
                            <a:picLocks noChangeAspect="1"/>
                          </pic:cNvPicPr>
                        </pic:nvPicPr>
                        <pic:blipFill>
                          <a:blip r:embed="rId34" cstate="print"/>
                          <a:stretch>
                            <a:fillRect/>
                          </a:stretch>
                        </pic:blipFill>
                        <pic:spPr>
                          <a:xfrm>
                            <a:off x="0" y="0"/>
                            <a:ext cx="2581757" cy="2642400"/>
                          </a:xfrm>
                          <a:prstGeom prst="rect">
                            <a:avLst/>
                          </a:prstGeom>
                        </pic:spPr>
                      </pic:pic>
                    </a:graphicData>
                  </a:graphic>
                </wp:inline>
              </w:drawing>
            </w:r>
          </w:p>
        </w:tc>
        <w:tc>
          <w:tcPr>
            <w:tcW w:w="2551"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rFonts w:hint="eastAsia" w:ascii="新宋体" w:hAnsi="新宋体" w:eastAsia="新宋体" w:cs="新宋体"/>
                <w:color w:val="000000"/>
                <w:kern w:val="0"/>
                <w:sz w:val="28"/>
                <w:szCs w:val="28"/>
                <w:highlight w:val="none"/>
              </w:rPr>
              <w:drawing>
                <wp:inline distT="0" distB="0" distL="114300" distR="114300">
                  <wp:extent cx="2625090" cy="2639060"/>
                  <wp:effectExtent l="0" t="0" r="11430" b="12700"/>
                  <wp:docPr id="23" name="图片 23" descr="8254c554f2778b42f8dc7d2220f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54c554f2778b42f8dc7d2220f5357"/>
                          <pic:cNvPicPr>
                            <a:picLocks noChangeAspect="1"/>
                          </pic:cNvPicPr>
                        </pic:nvPicPr>
                        <pic:blipFill>
                          <a:blip r:embed="rId35" cstate="print"/>
                          <a:stretch>
                            <a:fillRect/>
                          </a:stretch>
                        </pic:blipFill>
                        <pic:spPr>
                          <a:xfrm>
                            <a:off x="0" y="0"/>
                            <a:ext cx="2627936" cy="2642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8" w:hRule="atLeast"/>
          <w:jc w:val="center"/>
        </w:trPr>
        <w:tc>
          <w:tcPr>
            <w:tcW w:w="2448"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highlight w:val="none"/>
              </w:rPr>
              <w:drawing>
                <wp:inline distT="0" distB="0" distL="114300" distR="114300">
                  <wp:extent cx="2706370" cy="2712720"/>
                  <wp:effectExtent l="0" t="0" r="635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36" cstate="print"/>
                          <a:stretch>
                            <a:fillRect/>
                          </a:stretch>
                        </pic:blipFill>
                        <pic:spPr>
                          <a:xfrm>
                            <a:off x="0" y="0"/>
                            <a:ext cx="2706370" cy="2712720"/>
                          </a:xfrm>
                          <a:prstGeom prst="rect">
                            <a:avLst/>
                          </a:prstGeom>
                          <a:noFill/>
                          <a:ln>
                            <a:noFill/>
                          </a:ln>
                        </pic:spPr>
                      </pic:pic>
                    </a:graphicData>
                  </a:graphic>
                </wp:inline>
              </w:drawing>
            </w:r>
          </w:p>
        </w:tc>
        <w:tc>
          <w:tcPr>
            <w:tcW w:w="2551" w:type="pct"/>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新宋体" w:hAnsi="新宋体" w:eastAsia="新宋体" w:cs="新宋体"/>
                <w:color w:val="000000"/>
                <w:kern w:val="0"/>
                <w:sz w:val="28"/>
                <w:szCs w:val="28"/>
                <w:highlight w:val="none"/>
              </w:rPr>
            </w:pPr>
            <w:r>
              <w:rPr>
                <w:highlight w:val="none"/>
              </w:rPr>
              <w:drawing>
                <wp:inline distT="0" distB="0" distL="114300" distR="114300">
                  <wp:extent cx="2835275" cy="2720340"/>
                  <wp:effectExtent l="0" t="0" r="14605" b="762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37" cstate="print"/>
                          <a:stretch>
                            <a:fillRect/>
                          </a:stretch>
                        </pic:blipFill>
                        <pic:spPr>
                          <a:xfrm>
                            <a:off x="0" y="0"/>
                            <a:ext cx="2835275" cy="2720340"/>
                          </a:xfrm>
                          <a:prstGeom prst="rect">
                            <a:avLst/>
                          </a:prstGeom>
                          <a:noFill/>
                          <a:ln>
                            <a:noFill/>
                          </a:ln>
                        </pic:spPr>
                      </pic:pic>
                    </a:graphicData>
                  </a:graphic>
                </wp:inline>
              </w:drawing>
            </w:r>
          </w:p>
        </w:tc>
      </w:tr>
    </w:tbl>
    <w:p>
      <w:pPr>
        <w:pStyle w:val="7"/>
        <w:spacing w:after="156"/>
        <w:ind w:firstLine="420"/>
        <w:rPr>
          <w:rFonts w:hint="eastAsia" w:eastAsia="宋体"/>
          <w:sz w:val="21"/>
          <w:highlight w:val="none"/>
          <w:lang w:val="en-US" w:eastAsia="zh-CN"/>
        </w:rPr>
      </w:pPr>
      <w:r>
        <w:rPr>
          <w:sz w:val="21"/>
          <w:highlight w:val="none"/>
        </w:rPr>
        <w:t xml:space="preserve">图 </w:t>
      </w:r>
      <w:r>
        <w:rPr>
          <w:rFonts w:hint="eastAsia"/>
          <w:sz w:val="21"/>
          <w:highlight w:val="none"/>
        </w:rPr>
        <w:t>3-</w:t>
      </w:r>
      <w:r>
        <w:rPr>
          <w:sz w:val="21"/>
          <w:highlight w:val="none"/>
        </w:rPr>
        <w:fldChar w:fldCharType="begin"/>
      </w:r>
      <w:r>
        <w:rPr>
          <w:sz w:val="21"/>
          <w:highlight w:val="none"/>
        </w:rPr>
        <w:instrText xml:space="preserve"> SEQ 图 \* ARABIC \s 1 </w:instrText>
      </w:r>
      <w:r>
        <w:rPr>
          <w:sz w:val="21"/>
          <w:highlight w:val="none"/>
        </w:rPr>
        <w:fldChar w:fldCharType="separate"/>
      </w:r>
      <w:r>
        <w:rPr>
          <w:sz w:val="21"/>
          <w:highlight w:val="none"/>
        </w:rPr>
        <w:t>3</w:t>
      </w:r>
      <w:r>
        <w:rPr>
          <w:sz w:val="21"/>
          <w:highlight w:val="none"/>
        </w:rPr>
        <w:fldChar w:fldCharType="end"/>
      </w:r>
      <w:r>
        <w:rPr>
          <w:rFonts w:hint="eastAsia"/>
          <w:sz w:val="21"/>
          <w:highlight w:val="none"/>
        </w:rPr>
        <w:t xml:space="preserve"> 树木、路灯迁移及拆除前照片</w:t>
      </w:r>
    </w:p>
    <w:p>
      <w:pPr>
        <w:ind w:firstLine="480"/>
        <w:rPr>
          <w:highlight w:val="none"/>
        </w:rPr>
      </w:pPr>
      <w:r>
        <w:rPr>
          <w:rFonts w:hint="eastAsia"/>
          <w:highlight w:val="none"/>
        </w:rPr>
        <w:t>该</w:t>
      </w:r>
      <w:r>
        <w:rPr>
          <w:rFonts w:hint="eastAsia"/>
          <w:highlight w:val="none"/>
          <w:lang w:val="en-US" w:eastAsia="zh-CN"/>
        </w:rPr>
        <w:t>苗木</w:t>
      </w:r>
      <w:r>
        <w:rPr>
          <w:rFonts w:hint="eastAsia"/>
          <w:highlight w:val="none"/>
        </w:rPr>
        <w:t>迁移工作由我方负责迁移至</w:t>
      </w:r>
      <w:r>
        <w:rPr>
          <w:rFonts w:hint="eastAsia"/>
          <w:highlight w:val="none"/>
          <w:lang w:eastAsia="zh-CN"/>
        </w:rPr>
        <w:t>廉江市五中至北部湾大道河道右岸背水面</w:t>
      </w:r>
      <w:r>
        <w:rPr>
          <w:rFonts w:hint="eastAsia"/>
          <w:highlight w:val="none"/>
        </w:rPr>
        <w:t>位置，具体数量和品种见附件2</w:t>
      </w:r>
      <w:r>
        <w:rPr>
          <w:rFonts w:hint="eastAsia"/>
          <w:highlight w:val="none"/>
          <w:lang w:eastAsia="zh-CN"/>
        </w:rPr>
        <w:t>，</w:t>
      </w:r>
      <w:r>
        <w:rPr>
          <w:rFonts w:hint="eastAsia"/>
          <w:highlight w:val="none"/>
        </w:rPr>
        <w:t>确保成活率达90%及以上</w:t>
      </w:r>
      <w:r>
        <w:rPr>
          <w:rFonts w:hint="eastAsia"/>
          <w:highlight w:val="none"/>
          <w:lang w:eastAsia="zh-CN"/>
        </w:rPr>
        <w:t>；</w:t>
      </w:r>
      <w:r>
        <w:rPr>
          <w:rFonts w:hint="eastAsia"/>
          <w:highlight w:val="none"/>
          <w:lang w:val="en-US" w:eastAsia="zh-CN"/>
        </w:rPr>
        <w:t>路灯由我方拆除并移交至路灯管理所进行保存，</w:t>
      </w:r>
      <w:r>
        <w:rPr>
          <w:rFonts w:hint="eastAsia"/>
          <w:highlight w:val="none"/>
        </w:rPr>
        <w:t>并对迁移的</w:t>
      </w:r>
      <w:r>
        <w:rPr>
          <w:rFonts w:hint="eastAsia"/>
          <w:highlight w:val="none"/>
          <w:lang w:val="en-US" w:eastAsia="zh-CN"/>
        </w:rPr>
        <w:t>苗木</w:t>
      </w:r>
      <w:r>
        <w:rPr>
          <w:rFonts w:hint="eastAsia"/>
          <w:highlight w:val="none"/>
        </w:rPr>
        <w:t>及拆除</w:t>
      </w:r>
      <w:r>
        <w:rPr>
          <w:rFonts w:hint="eastAsia"/>
          <w:highlight w:val="none"/>
          <w:lang w:val="en-US" w:eastAsia="zh-CN"/>
        </w:rPr>
        <w:t>的</w:t>
      </w:r>
      <w:r>
        <w:rPr>
          <w:rFonts w:hint="eastAsia"/>
          <w:highlight w:val="none"/>
        </w:rPr>
        <w:t>路灯实行清单管理，包括</w:t>
      </w:r>
      <w:r>
        <w:rPr>
          <w:rFonts w:hint="eastAsia"/>
          <w:highlight w:val="none"/>
          <w:lang w:val="en-US" w:eastAsia="zh-CN"/>
        </w:rPr>
        <w:t>苗木</w:t>
      </w:r>
      <w:r>
        <w:rPr>
          <w:rFonts w:hint="eastAsia"/>
          <w:highlight w:val="none"/>
        </w:rPr>
        <w:t>的品种、数量、规格（树龄、胸径）等信息建立档案。</w:t>
      </w:r>
    </w:p>
    <w:p>
      <w:pPr>
        <w:ind w:firstLine="560"/>
        <w:rPr>
          <w:sz w:val="28"/>
          <w:szCs w:val="28"/>
          <w:highlight w:val="none"/>
        </w:rPr>
      </w:pPr>
      <w:r>
        <w:rPr>
          <w:sz w:val="28"/>
          <w:szCs w:val="28"/>
          <w:highlight w:val="none"/>
        </w:rPr>
        <w:br w:type="page"/>
      </w:r>
    </w:p>
    <w:p>
      <w:pPr>
        <w:pStyle w:val="3"/>
        <w:numPr>
          <w:ilvl w:val="0"/>
          <w:numId w:val="1"/>
        </w:numPr>
        <w:spacing w:before="0" w:after="200" w:line="480" w:lineRule="auto"/>
        <w:ind w:firstLine="562"/>
        <w:jc w:val="center"/>
        <w:rPr>
          <w:sz w:val="28"/>
          <w:szCs w:val="28"/>
          <w:highlight w:val="none"/>
        </w:rPr>
      </w:pPr>
      <w:bookmarkStart w:id="6" w:name="_Toc23753"/>
      <w:r>
        <w:rPr>
          <w:rFonts w:hint="eastAsia"/>
          <w:sz w:val="28"/>
          <w:szCs w:val="28"/>
          <w:highlight w:val="none"/>
        </w:rPr>
        <w:t>树木迁移施工方案</w:t>
      </w:r>
      <w:bookmarkEnd w:id="6"/>
    </w:p>
    <w:p>
      <w:pPr>
        <w:ind w:firstLine="480"/>
        <w:rPr>
          <w:highlight w:val="none"/>
        </w:rPr>
      </w:pPr>
      <w:r>
        <w:rPr>
          <w:rFonts w:hint="eastAsia"/>
          <w:highlight w:val="none"/>
        </w:rPr>
        <w:t>根据相关部门要求，本次迁移</w:t>
      </w:r>
      <w:r>
        <w:rPr>
          <w:rFonts w:hint="eastAsia"/>
          <w:highlight w:val="none"/>
          <w:lang w:val="en-US" w:eastAsia="zh-CN"/>
        </w:rPr>
        <w:t>苗木</w:t>
      </w:r>
      <w:r>
        <w:rPr>
          <w:rFonts w:hint="eastAsia"/>
          <w:highlight w:val="none"/>
        </w:rPr>
        <w:t>移栽至</w:t>
      </w:r>
      <w:r>
        <w:rPr>
          <w:rFonts w:hint="eastAsia"/>
          <w:highlight w:val="none"/>
          <w:lang w:eastAsia="zh-CN"/>
        </w:rPr>
        <w:t>廉江市五中至北部湾大道河道右岸背水面</w:t>
      </w:r>
      <w:r>
        <w:rPr>
          <w:rFonts w:hint="eastAsia"/>
          <w:highlight w:val="none"/>
        </w:rPr>
        <w:t>，以致不影响</w:t>
      </w:r>
      <w:r>
        <w:rPr>
          <w:rFonts w:hint="eastAsia"/>
          <w:highlight w:val="none"/>
          <w:lang w:val="en-US" w:eastAsia="zh-CN"/>
        </w:rPr>
        <w:t>本项目</w:t>
      </w:r>
      <w:r>
        <w:rPr>
          <w:rFonts w:hint="eastAsia"/>
          <w:highlight w:val="none"/>
        </w:rPr>
        <w:t>正常施工，其平均运距</w:t>
      </w:r>
      <w:r>
        <w:rPr>
          <w:rFonts w:hint="eastAsia"/>
          <w:highlight w:val="none"/>
          <w:lang w:val="en-US" w:eastAsia="zh-CN"/>
        </w:rPr>
        <w:t>为3</w:t>
      </w:r>
      <w:r>
        <w:rPr>
          <w:rFonts w:hint="eastAsia"/>
          <w:highlight w:val="none"/>
        </w:rPr>
        <w:t>km。</w:t>
      </w:r>
      <w:r>
        <w:rPr>
          <w:rFonts w:hint="eastAsia"/>
          <w:highlight w:val="none"/>
          <w:lang w:val="en-US" w:eastAsia="zh-CN"/>
        </w:rPr>
        <w:t>苗木</w:t>
      </w:r>
      <w:r>
        <w:rPr>
          <w:rFonts w:hint="eastAsia"/>
          <w:highlight w:val="none"/>
        </w:rPr>
        <w:t>迁移后的城中段区域，后期将按照廉江河综合治理工程新村电站片项目（一期）的滨河景观带景观绿化工程进行建设。</w:t>
      </w:r>
    </w:p>
    <w:p>
      <w:pPr>
        <w:pStyle w:val="4"/>
        <w:rPr>
          <w:rFonts w:hint="eastAsia" w:eastAsia="宋体"/>
          <w:highlight w:val="none"/>
          <w:lang w:val="en-US" w:eastAsia="zh-CN"/>
        </w:rPr>
      </w:pPr>
      <w:bookmarkStart w:id="7" w:name="_Toc28866"/>
      <w:r>
        <w:rPr>
          <w:rFonts w:hint="eastAsia" w:eastAsia="宋体"/>
          <w:highlight w:val="none"/>
          <w:lang w:val="en-US" w:eastAsia="zh-CN"/>
        </w:rPr>
        <w:t>一、施工组织机构</w:t>
      </w:r>
      <w:bookmarkEnd w:id="7"/>
    </w:p>
    <w:p>
      <w:pPr>
        <w:ind w:left="0" w:leftChars="0" w:firstLine="0" w:firstLineChars="0"/>
        <w:jc w:val="center"/>
      </w:pPr>
      <w:r>
        <w:rPr>
          <w:rFonts w:hint="eastAsia"/>
        </w:rPr>
        <w:drawing>
          <wp:inline distT="0" distB="0" distL="0" distR="0">
            <wp:extent cx="4533900" cy="34226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cstate="print"/>
                    <a:srcRect/>
                    <a:stretch>
                      <a:fillRect/>
                    </a:stretch>
                  </pic:blipFill>
                  <pic:spPr>
                    <a:xfrm>
                      <a:off x="0" y="0"/>
                      <a:ext cx="4533900" cy="3422650"/>
                    </a:xfrm>
                    <a:prstGeom prst="rect">
                      <a:avLst/>
                    </a:prstGeom>
                    <a:noFill/>
                    <a:ln w="9525">
                      <a:noFill/>
                      <a:miter lim="800000"/>
                      <a:headEnd/>
                      <a:tailEnd/>
                    </a:ln>
                  </pic:spPr>
                </pic:pic>
              </a:graphicData>
            </a:graphic>
          </wp:inline>
        </w:drawing>
      </w:r>
    </w:p>
    <w:p>
      <w:pPr>
        <w:pStyle w:val="7"/>
        <w:spacing w:after="156"/>
        <w:ind w:left="0" w:leftChars="0" w:firstLine="0" w:firstLineChars="0"/>
        <w:jc w:val="center"/>
        <w:rPr>
          <w:rFonts w:hint="eastAsia" w:ascii="Times New Roman" w:hAnsi="Times New Roman" w:cs="Times New Roman"/>
          <w:sz w:val="21"/>
          <w:highlight w:val="none"/>
        </w:rPr>
      </w:pPr>
      <w:r>
        <w:rPr>
          <w:rFonts w:ascii="Times New Roman" w:hAnsi="Times New Roman" w:cs="Times New Roman"/>
          <w:sz w:val="21"/>
          <w:highlight w:val="none"/>
        </w:rPr>
        <w:t xml:space="preserve">图 </w:t>
      </w:r>
      <w:r>
        <w:rPr>
          <w:rFonts w:hint="eastAsia" w:ascii="Times New Roman" w:hAnsi="Times New Roman" w:cs="Times New Roman"/>
          <w:sz w:val="21"/>
          <w:highlight w:val="none"/>
          <w:lang w:val="en-US" w:eastAsia="zh-CN"/>
        </w:rPr>
        <w:t>4</w:t>
      </w:r>
      <w:r>
        <w:rPr>
          <w:rFonts w:hint="eastAsia" w:ascii="Times New Roman" w:hAnsi="Times New Roman" w:cs="Times New Roman"/>
          <w:sz w:val="21"/>
          <w:highlight w:val="none"/>
          <w:lang w:eastAsia="zh-CN"/>
        </w:rPr>
        <w:t>-</w:t>
      </w:r>
      <w:r>
        <w:rPr>
          <w:rFonts w:ascii="Times New Roman" w:hAnsi="Times New Roman" w:cs="Times New Roman"/>
          <w:sz w:val="21"/>
          <w:highlight w:val="none"/>
        </w:rPr>
        <w:fldChar w:fldCharType="begin"/>
      </w:r>
      <w:r>
        <w:rPr>
          <w:rFonts w:ascii="Times New Roman" w:hAnsi="Times New Roman" w:cs="Times New Roman"/>
          <w:sz w:val="21"/>
          <w:highlight w:val="none"/>
        </w:rPr>
        <w:instrText xml:space="preserve"> SEQ 图 \* ARABIC \s 1 </w:instrText>
      </w:r>
      <w:r>
        <w:rPr>
          <w:rFonts w:ascii="Times New Roman" w:hAnsi="Times New Roman" w:cs="Times New Roman"/>
          <w:sz w:val="21"/>
          <w:highlight w:val="none"/>
        </w:rPr>
        <w:fldChar w:fldCharType="separate"/>
      </w:r>
      <w:r>
        <w:rPr>
          <w:rFonts w:ascii="Times New Roman" w:hAnsi="Times New Roman" w:cs="Times New Roman"/>
          <w:sz w:val="21"/>
          <w:highlight w:val="none"/>
        </w:rPr>
        <w:t>1</w:t>
      </w:r>
      <w:r>
        <w:rPr>
          <w:rFonts w:ascii="Times New Roman" w:hAnsi="Times New Roman" w:cs="Times New Roman"/>
          <w:sz w:val="21"/>
          <w:highlight w:val="none"/>
        </w:rPr>
        <w:fldChar w:fldCharType="end"/>
      </w:r>
      <w:r>
        <w:rPr>
          <w:rFonts w:hint="eastAsia" w:ascii="Times New Roman" w:hAnsi="Times New Roman" w:cs="Times New Roman"/>
          <w:sz w:val="21"/>
          <w:highlight w:val="none"/>
        </w:rPr>
        <w:t>项目管理组织结构图</w:t>
      </w:r>
    </w:p>
    <w:p>
      <w:pPr>
        <w:pStyle w:val="4"/>
        <w:rPr>
          <w:highlight w:val="none"/>
        </w:rPr>
      </w:pPr>
      <w:bookmarkStart w:id="8" w:name="_Toc5310"/>
      <w:r>
        <w:rPr>
          <w:rFonts w:hint="eastAsia"/>
          <w:highlight w:val="none"/>
          <w:lang w:val="en-US" w:eastAsia="zh-CN"/>
        </w:rPr>
        <w:t>二</w:t>
      </w:r>
      <w:r>
        <w:rPr>
          <w:rFonts w:hint="eastAsia"/>
          <w:highlight w:val="none"/>
        </w:rPr>
        <w:t>、围蔽</w:t>
      </w:r>
      <w:bookmarkEnd w:id="8"/>
    </w:p>
    <w:p>
      <w:pPr>
        <w:ind w:firstLine="480"/>
        <w:rPr>
          <w:highlight w:val="none"/>
        </w:rPr>
      </w:pPr>
      <w:r>
        <w:rPr>
          <w:highlight w:val="none"/>
        </w:rPr>
        <w:t>1、</w:t>
      </w:r>
      <w:r>
        <w:rPr>
          <w:rFonts w:hint="eastAsia"/>
          <w:highlight w:val="none"/>
        </w:rPr>
        <w:t>围蔽位置</w:t>
      </w:r>
      <w:r>
        <w:rPr>
          <w:highlight w:val="none"/>
        </w:rPr>
        <w:t>定位</w:t>
      </w:r>
    </w:p>
    <w:p>
      <w:pPr>
        <w:ind w:firstLine="480"/>
        <w:rPr>
          <w:highlight w:val="none"/>
        </w:rPr>
      </w:pPr>
      <w:r>
        <w:rPr>
          <w:rFonts w:hint="eastAsia"/>
          <w:highlight w:val="none"/>
        </w:rPr>
        <w:t>根据施工进度计划安排及建设单位提供征地红线范围</w:t>
      </w:r>
      <w:r>
        <w:rPr>
          <w:highlight w:val="none"/>
        </w:rPr>
        <w:t>和现场状况，对临时围挡进行测设定位。</w:t>
      </w:r>
    </w:p>
    <w:p>
      <w:pPr>
        <w:ind w:firstLine="480"/>
        <w:rPr>
          <w:highlight w:val="none"/>
        </w:rPr>
      </w:pPr>
      <w:r>
        <w:rPr>
          <w:highlight w:val="none"/>
        </w:rPr>
        <w:t>2、</w:t>
      </w:r>
      <w:r>
        <w:rPr>
          <w:rFonts w:hint="eastAsia"/>
          <w:highlight w:val="none"/>
        </w:rPr>
        <w:t>围蔽施工</w:t>
      </w:r>
    </w:p>
    <w:p>
      <w:pPr>
        <w:ind w:firstLine="480"/>
        <w:rPr>
          <w:highlight w:val="none"/>
        </w:rPr>
      </w:pPr>
      <w:r>
        <w:rPr>
          <w:rFonts w:hint="eastAsia"/>
          <w:highlight w:val="none"/>
        </w:rPr>
        <w:t>围蔽选用冲孔围挡（2000×2550mm）及配套型号的立柱及斜撑。围蔽高为4m，根据冲孔围挡长度设置相应立柱，立柱基础使用膨胀螺栓固定于混凝土路面上，围挡斜撑向内倾斜45°（可根据现场实际情况调整斜度），正大门采用双开门，底部焊接滑轮方便大门开关。</w:t>
      </w:r>
    </w:p>
    <w:p>
      <w:pPr>
        <w:pStyle w:val="4"/>
        <w:rPr>
          <w:highlight w:val="none"/>
        </w:rPr>
      </w:pPr>
      <w:bookmarkStart w:id="9" w:name="_Toc15873"/>
      <w:r>
        <w:rPr>
          <w:rFonts w:hint="eastAsia"/>
          <w:highlight w:val="none"/>
          <w:lang w:val="en-US" w:eastAsia="zh-CN"/>
        </w:rPr>
        <w:t>三</w:t>
      </w:r>
      <w:r>
        <w:rPr>
          <w:rFonts w:hint="eastAsia"/>
          <w:highlight w:val="none"/>
        </w:rPr>
        <w:t>、移植的准备工作</w:t>
      </w:r>
      <w:bookmarkEnd w:id="9"/>
    </w:p>
    <w:p>
      <w:pPr>
        <w:ind w:firstLine="480"/>
        <w:rPr>
          <w:highlight w:val="none"/>
        </w:rPr>
      </w:pPr>
      <w:r>
        <w:rPr>
          <w:rFonts w:hint="eastAsia"/>
          <w:highlight w:val="none"/>
        </w:rPr>
        <w:t>1、移植前应对移植的乔木生长、立地条件、周边管线等进行调查研究，制定技术方案和安全措施。</w:t>
      </w:r>
    </w:p>
    <w:p>
      <w:pPr>
        <w:ind w:firstLine="480"/>
        <w:rPr>
          <w:highlight w:val="none"/>
        </w:rPr>
      </w:pPr>
      <w:r>
        <w:rPr>
          <w:rFonts w:hint="eastAsia"/>
          <w:highlight w:val="none"/>
        </w:rPr>
        <w:t>2、准备移植所需机械、运输设备和大型工具必须完好，确保操作安全。</w:t>
      </w:r>
    </w:p>
    <w:p>
      <w:pPr>
        <w:ind w:firstLine="480"/>
        <w:rPr>
          <w:highlight w:val="none"/>
        </w:rPr>
      </w:pPr>
      <w:r>
        <w:rPr>
          <w:rFonts w:hint="eastAsia"/>
          <w:highlight w:val="none"/>
        </w:rPr>
        <w:t>3、移植的乔木为植株健壮、生长正常的树木，并具备起重及运输机械等设备能正常工作的现场条件。</w:t>
      </w:r>
    </w:p>
    <w:p>
      <w:pPr>
        <w:ind w:firstLine="480"/>
        <w:rPr>
          <w:highlight w:val="none"/>
        </w:rPr>
      </w:pPr>
      <w:r>
        <w:rPr>
          <w:rFonts w:hint="eastAsia"/>
          <w:highlight w:val="none"/>
        </w:rPr>
        <w:t>4、选定的移植乔木，应在树干南侧做出明显标识，标明树木的阴、阳面及出土线。</w:t>
      </w:r>
    </w:p>
    <w:p>
      <w:pPr>
        <w:ind w:firstLine="480"/>
        <w:rPr>
          <w:highlight w:val="none"/>
        </w:rPr>
      </w:pPr>
      <w:r>
        <w:rPr>
          <w:rFonts w:hint="eastAsia"/>
          <w:highlight w:val="none"/>
        </w:rPr>
        <w:t>5、移植大树可在移植前分期断根、修剪，做好移植准备。</w:t>
      </w:r>
    </w:p>
    <w:p>
      <w:pPr>
        <w:pStyle w:val="4"/>
        <w:rPr>
          <w:highlight w:val="none"/>
        </w:rPr>
      </w:pPr>
      <w:bookmarkStart w:id="10" w:name="_Toc9157"/>
      <w:r>
        <w:rPr>
          <w:rFonts w:hint="eastAsia"/>
          <w:highlight w:val="none"/>
          <w:lang w:val="en-US" w:eastAsia="zh-CN"/>
        </w:rPr>
        <w:t>四</w:t>
      </w:r>
      <w:r>
        <w:rPr>
          <w:rFonts w:hint="eastAsia"/>
          <w:highlight w:val="none"/>
        </w:rPr>
        <w:t>、移植中需注意的问题</w:t>
      </w:r>
      <w:bookmarkEnd w:id="10"/>
      <w:r>
        <w:rPr>
          <w:rFonts w:hint="eastAsia"/>
          <w:highlight w:val="none"/>
        </w:rPr>
        <w:t xml:space="preserve"> </w:t>
      </w:r>
    </w:p>
    <w:p>
      <w:pPr>
        <w:ind w:firstLine="480"/>
        <w:rPr>
          <w:highlight w:val="none"/>
        </w:rPr>
      </w:pPr>
      <w:r>
        <w:rPr>
          <w:rFonts w:hint="eastAsia"/>
          <w:highlight w:val="none"/>
        </w:rPr>
        <w:t xml:space="preserve">1、施工范围地下管线情况不明； </w:t>
      </w:r>
    </w:p>
    <w:p>
      <w:pPr>
        <w:ind w:firstLine="480"/>
        <w:rPr>
          <w:rFonts w:hint="eastAsia"/>
          <w:highlight w:val="none"/>
        </w:rPr>
      </w:pPr>
      <w:r>
        <w:rPr>
          <w:rFonts w:hint="eastAsia"/>
          <w:highlight w:val="none"/>
        </w:rPr>
        <w:t xml:space="preserve">2、移种栽植地土质较差，苗木成活较难保证； </w:t>
      </w:r>
    </w:p>
    <w:p>
      <w:pPr>
        <w:pStyle w:val="2"/>
        <w:rPr>
          <w:rFonts w:hint="default" w:eastAsia="宋体"/>
          <w:highlight w:val="none"/>
          <w:lang w:val="en-US" w:eastAsia="zh-CN"/>
        </w:rPr>
      </w:pPr>
      <w:r>
        <w:rPr>
          <w:rFonts w:hint="eastAsia"/>
          <w:highlight w:val="none"/>
          <w:lang w:val="en-US" w:eastAsia="zh-CN"/>
        </w:rPr>
        <w:t>3、移植树木使用遮阴率在75%～80%左右的黑色遮阴网遮阳，不仅可以起到比较好的遮阴效果，还不会影响光合作用。</w:t>
      </w:r>
    </w:p>
    <w:p>
      <w:pPr>
        <w:ind w:firstLine="480"/>
        <w:rPr>
          <w:highlight w:val="none"/>
        </w:rPr>
      </w:pPr>
      <w:r>
        <w:rPr>
          <w:rFonts w:hint="eastAsia"/>
          <w:highlight w:val="none"/>
          <w:lang w:val="en-US" w:eastAsia="zh-CN"/>
        </w:rPr>
        <w:t>4</w:t>
      </w:r>
      <w:r>
        <w:rPr>
          <w:rFonts w:hint="eastAsia"/>
          <w:highlight w:val="none"/>
          <w:lang w:eastAsia="zh-CN"/>
        </w:rPr>
        <w:t>、</w:t>
      </w:r>
      <w:r>
        <w:rPr>
          <w:rFonts w:hint="eastAsia"/>
          <w:highlight w:val="none"/>
        </w:rPr>
        <w:t>迁移中树木支撑保护困难。由于生长环境和各种人为因素造成迁移苗木树冠生长不平衡，迁移时极容易引起负荷不平衡，迁移过程中易发生倾斜或倒伏。</w:t>
      </w:r>
    </w:p>
    <w:p>
      <w:pPr>
        <w:ind w:firstLine="480"/>
        <w:rPr>
          <w:highlight w:val="none"/>
        </w:rPr>
      </w:pPr>
      <w:r>
        <w:rPr>
          <w:rFonts w:hint="eastAsia"/>
          <w:highlight w:val="none"/>
          <w:lang w:val="en-US" w:eastAsia="zh-CN"/>
        </w:rPr>
        <w:t>5</w:t>
      </w:r>
      <w:r>
        <w:rPr>
          <w:rFonts w:hint="eastAsia"/>
          <w:highlight w:val="none"/>
          <w:lang w:eastAsia="zh-CN"/>
        </w:rPr>
        <w:t>、</w:t>
      </w:r>
      <w:r>
        <w:rPr>
          <w:rFonts w:hint="eastAsia"/>
          <w:highlight w:val="none"/>
        </w:rPr>
        <w:t>形成土球难度大。本规划路段所涉及的苗木均生长多年，由于人为和自然沉积，纵向具有较长根系分布范围。同时各地自然土层地貌不同，在不同程度上加大了土球形成难度。</w:t>
      </w:r>
    </w:p>
    <w:p>
      <w:pPr>
        <w:ind w:firstLine="480"/>
        <w:rPr>
          <w:highlight w:val="none"/>
        </w:rPr>
      </w:pPr>
      <w:r>
        <w:rPr>
          <w:rFonts w:hint="eastAsia"/>
          <w:highlight w:val="none"/>
          <w:lang w:val="en-US" w:eastAsia="zh-CN"/>
        </w:rPr>
        <w:t>6</w:t>
      </w:r>
      <w:r>
        <w:rPr>
          <w:rFonts w:hint="eastAsia"/>
          <w:highlight w:val="none"/>
        </w:rPr>
        <w:t>、调查运输路线：移植前应先调查行车道路并做好必要准备，查看运输线路是否顺利通过电线、桥梁、隧道、收费站等的限高、限宽、限载，合理安排运输路线。</w:t>
      </w:r>
    </w:p>
    <w:p>
      <w:pPr>
        <w:pStyle w:val="4"/>
        <w:rPr>
          <w:highlight w:val="none"/>
        </w:rPr>
      </w:pPr>
      <w:bookmarkStart w:id="11" w:name="_Toc10820"/>
      <w:r>
        <w:rPr>
          <w:rFonts w:hint="eastAsia"/>
          <w:highlight w:val="none"/>
          <w:lang w:val="en-US" w:eastAsia="zh-CN"/>
        </w:rPr>
        <w:t>五</w:t>
      </w:r>
      <w:r>
        <w:rPr>
          <w:rFonts w:hint="eastAsia"/>
          <w:highlight w:val="none"/>
        </w:rPr>
        <w:t>、树木迁移施工程序</w:t>
      </w:r>
      <w:bookmarkEnd w:id="11"/>
      <w:r>
        <w:rPr>
          <w:rFonts w:hint="eastAsia"/>
          <w:highlight w:val="none"/>
        </w:rPr>
        <w:t xml:space="preserve"> </w:t>
      </w:r>
    </w:p>
    <w:p>
      <w:pPr>
        <w:numPr>
          <w:ilvl w:val="0"/>
          <w:numId w:val="2"/>
        </w:numPr>
        <w:ind w:firstLine="480"/>
        <w:rPr>
          <w:rFonts w:hint="eastAsia"/>
          <w:highlight w:val="none"/>
        </w:rPr>
      </w:pPr>
      <w:r>
        <w:rPr>
          <w:rFonts w:hint="eastAsia"/>
          <w:highlight w:val="none"/>
        </w:rPr>
        <w:t>了解地下管线，做好应急处理。施工前了解地下电力电缆、通讯电缆、天然气管线、供水管道、市政排污排水管道、管网线路，并向有关部门索取相关资料。开挖前派专人负责向施工员讲解地下管网知识。施工时做到人工挖探沟，确定管线情况。如施工过程发现管网被破坏，立即向有关部门及权属单位报告，及时进行处理，保护好现场，问题解决之前暂停施工。</w:t>
      </w:r>
    </w:p>
    <w:p>
      <w:pPr>
        <w:numPr>
          <w:ilvl w:val="0"/>
          <w:numId w:val="2"/>
        </w:numPr>
        <w:ind w:firstLine="480"/>
        <w:rPr>
          <w:rFonts w:hint="eastAsia"/>
          <w:highlight w:val="none"/>
          <w:lang w:eastAsia="zh-CN"/>
        </w:rPr>
      </w:pPr>
      <w:r>
        <w:rPr>
          <w:rFonts w:hint="eastAsia"/>
          <w:color w:val="auto"/>
          <w:highlight w:val="none"/>
        </w:rPr>
        <w:t>移植栽种地的</w:t>
      </w:r>
      <w:r>
        <w:rPr>
          <w:rFonts w:hint="eastAsia"/>
          <w:color w:val="auto"/>
          <w:highlight w:val="none"/>
          <w:lang w:val="en-US" w:eastAsia="zh-CN"/>
        </w:rPr>
        <w:t>现状及</w:t>
      </w:r>
      <w:r>
        <w:rPr>
          <w:rFonts w:hint="eastAsia"/>
          <w:color w:val="auto"/>
          <w:highlight w:val="none"/>
        </w:rPr>
        <w:t>处理：</w:t>
      </w:r>
      <w:r>
        <w:rPr>
          <w:rFonts w:hint="eastAsia"/>
          <w:color w:val="auto"/>
          <w:highlight w:val="none"/>
          <w:lang w:val="en-US" w:eastAsia="zh-CN"/>
        </w:rPr>
        <w:t>树木安置地为本工程</w:t>
      </w:r>
      <w:r>
        <w:rPr>
          <w:rFonts w:hint="eastAsia"/>
          <w:color w:val="auto"/>
          <w:highlight w:val="none"/>
          <w:lang w:eastAsia="zh-CN"/>
        </w:rPr>
        <w:t>廉江市五中至北部湾大道河道右岸背水面，</w:t>
      </w:r>
      <w:r>
        <w:rPr>
          <w:rFonts w:hint="eastAsia"/>
          <w:color w:val="auto"/>
          <w:highlight w:val="none"/>
          <w:lang w:val="en-US" w:eastAsia="zh-CN"/>
        </w:rPr>
        <w:t>在本工程施工红线范围内，地势较平坦。</w:t>
      </w:r>
      <w:r>
        <w:rPr>
          <w:rFonts w:hint="eastAsia"/>
          <w:color w:val="auto"/>
          <w:highlight w:val="none"/>
        </w:rPr>
        <w:t>为更好地布置本次苗木迁移工作，保证有关苗木的成活，进行种植区域环境提升工程移植栽种地的处理，首先为栽植地的平整及翻耕，主要包含清理有关石块、垃圾及翻松栽种地种植土，提前挖好种植穴，准备好有机肥，根据实际需要确定是否需增</w:t>
      </w:r>
      <w:r>
        <w:rPr>
          <w:rFonts w:hint="eastAsia"/>
          <w:highlight w:val="none"/>
        </w:rPr>
        <w:t>加回填种植土，若土壤状况不良还应提前进行土壤改良工作。如实际需要做回填种植土的，务必挑选透水、透气好的种植土进行回填。若土壤不符合以上条件，对栽植土采取下列措施</w:t>
      </w:r>
      <w:r>
        <w:rPr>
          <w:rFonts w:hint="eastAsia"/>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rPr>
        <w:t>（1）当pH值小于6.5或大于8.5时，采取土壤改良措施</w:t>
      </w:r>
      <w:r>
        <w:rPr>
          <w:rFonts w:hint="eastAsia"/>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rPr>
        <w:t>（2）土壤全盐含量在0.3～0.5％时，换土及扩大树穴</w:t>
      </w:r>
      <w:r>
        <w:rPr>
          <w:rFonts w:hint="eastAsia"/>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rPr>
        <w:t>（3）土壤全盐含量在0.5％以上时，采取综合改土措施</w:t>
      </w:r>
      <w:r>
        <w:rPr>
          <w:rFonts w:hint="eastAsia"/>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rPr>
        <w:t>（4）土壤容重在1.45g/cm3以上时，改土或加入疏松基质</w:t>
      </w:r>
      <w:r>
        <w:rPr>
          <w:rFonts w:hint="eastAsia"/>
          <w:highlight w:val="none"/>
          <w:lang w:eastAsia="zh-CN"/>
        </w:rPr>
        <w:t>。</w:t>
      </w:r>
    </w:p>
    <w:p>
      <w:pPr>
        <w:ind w:firstLine="480"/>
        <w:rPr>
          <w:rFonts w:hint="eastAsia" w:eastAsia="宋体"/>
          <w:highlight w:val="none"/>
          <w:lang w:val="en-US" w:eastAsia="zh-CN"/>
        </w:rPr>
      </w:pPr>
      <w:r>
        <w:rPr>
          <w:rFonts w:hint="eastAsia"/>
          <w:highlight w:val="none"/>
          <w:lang w:val="en-US" w:eastAsia="zh-CN"/>
        </w:rPr>
        <w:t>3</w:t>
      </w:r>
      <w:r>
        <w:rPr>
          <w:rFonts w:hint="eastAsia"/>
          <w:highlight w:val="none"/>
        </w:rPr>
        <w:t>、苗木</w:t>
      </w:r>
      <w:r>
        <w:rPr>
          <w:rFonts w:hint="eastAsia"/>
          <w:highlight w:val="none"/>
          <w:lang w:val="en-US" w:eastAsia="zh-CN"/>
        </w:rPr>
        <w:t>挖掘</w:t>
      </w:r>
    </w:p>
    <w:p>
      <w:pPr>
        <w:ind w:firstLine="480"/>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修枝：</w:t>
      </w:r>
      <w:r>
        <w:rPr>
          <w:highlight w:val="none"/>
        </w:rPr>
        <w:t>修枝考虑到一次移植、未进行炼根。5</w:t>
      </w:r>
      <w:r>
        <w:rPr>
          <w:rFonts w:hint="eastAsia"/>
          <w:highlight w:val="none"/>
        </w:rPr>
        <w:t>cm</w:t>
      </w:r>
      <w:r>
        <w:rPr>
          <w:highlight w:val="none"/>
        </w:rPr>
        <w:t>以下支杆基本全部修完，因树冠观感需要，保留小量5</w:t>
      </w:r>
      <w:r>
        <w:rPr>
          <w:rFonts w:hint="eastAsia"/>
          <w:highlight w:val="none"/>
        </w:rPr>
        <w:t>cm</w:t>
      </w:r>
      <w:r>
        <w:rPr>
          <w:highlight w:val="none"/>
        </w:rPr>
        <w:t>以下支杆</w:t>
      </w:r>
      <w:r>
        <w:rPr>
          <w:rFonts w:hint="eastAsia"/>
          <w:highlight w:val="none"/>
        </w:rPr>
        <w:t>，保持自然的树形，剪去内膛细弱枝、重叠枝、下垂枝、对病虫枝、枯死枝、折断枝必须剪除。</w:t>
      </w:r>
    </w:p>
    <w:p>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断根：移植时当然是土球越大越好，但现实情况并不能无限制的扩大土球的直径。可以以要移植的植物的根颈的周长作为半径，以树干为圆心划定土坨。通过这种方式确定的土坨对大多数植物安全有效。断根的方法对移栽树木的成活率有重要影响。如果条件允许，应该采用多时段，逐步断根的方法。具体操作方法是，在计划移栽的前一段时间，在树木根颈周长1倍为半径的圆圈上，第一次均匀的选取整个圆的1／3的圆弧用于断根，断根所挖的条沟的深度以深1m，宽</w:t>
      </w:r>
      <w:r>
        <w:rPr>
          <w:rFonts w:hint="eastAsia"/>
          <w:highlight w:val="none"/>
          <w:lang w:val="en-US" w:eastAsia="zh-CN"/>
        </w:rPr>
        <w:t>0.</w:t>
      </w:r>
      <w:r>
        <w:rPr>
          <w:rFonts w:hint="eastAsia"/>
          <w:highlight w:val="none"/>
        </w:rPr>
        <w:t>5m为宜。断根后，在根的切断处涂抹</w:t>
      </w:r>
      <w:r>
        <w:rPr>
          <w:rFonts w:hint="eastAsia"/>
          <w:highlight w:val="none"/>
          <w:lang w:val="en-US" w:eastAsia="zh-CN"/>
        </w:rPr>
        <w:t>0.</w:t>
      </w:r>
      <w:r>
        <w:rPr>
          <w:rFonts w:hint="eastAsia"/>
          <w:highlight w:val="none"/>
        </w:rPr>
        <w:t>02％的a一萘乙酸，然后回填经过消毒的松软透气的混台土。经过一段时间新根长出后，再按照同样的办法切断另外1／3的树根，以此类推，直至全部断根。断根的间隔时间与树龄、树种和季节有关系，需要在实践中根据具体情况而灵活处理。但对于树龄100年以下的大多数树种，在生长季节每次断根的时间问隔2个月是安全有效的。由于采用此种办法处理的树木，新根都生长在断根所挖掘的弧状沟中，因此起土球的时候一定注意将土球的半径根在原弧的基础上外扩30—50cm。</w:t>
      </w:r>
    </w:p>
    <w:p>
      <w:pPr>
        <w:ind w:firstLine="480"/>
        <w:rPr>
          <w:highlight w:val="none"/>
        </w:rPr>
      </w:pPr>
      <w:r>
        <w:rPr>
          <w:rFonts w:hint="eastAsia"/>
          <w:highlight w:val="none"/>
          <w:lang w:val="en-US" w:eastAsia="zh-CN"/>
        </w:rPr>
        <w:t>4</w:t>
      </w:r>
      <w:r>
        <w:rPr>
          <w:rFonts w:hint="eastAsia"/>
          <w:highlight w:val="none"/>
        </w:rPr>
        <w:t>、土球及包装</w:t>
      </w:r>
      <w:r>
        <w:rPr>
          <w:highlight w:val="none"/>
        </w:rPr>
        <w:t>具体做法：</w:t>
      </w:r>
    </w:p>
    <w:p>
      <w:pPr>
        <w:ind w:firstLine="480"/>
        <w:rPr>
          <w:highlight w:val="none"/>
        </w:rPr>
      </w:pPr>
      <w:r>
        <w:rPr>
          <w:highlight w:val="none"/>
        </w:rPr>
        <w:t>本工程中的大树移植需使用到软材包装移植法或木箱包装移植具体做法，采用土球移植，土球直径在1-1</w:t>
      </w:r>
      <w:r>
        <w:rPr>
          <w:rFonts w:hint="eastAsia"/>
          <w:highlight w:val="none"/>
          <w:lang w:val="en-US" w:eastAsia="zh-CN"/>
        </w:rPr>
        <w:t>.</w:t>
      </w:r>
      <w:r>
        <w:rPr>
          <w:highlight w:val="none"/>
        </w:rPr>
        <w:t>5m。一般土球直径和土台边长为树木干径的8~10倍。土球高度为土球直径的五分之四（根据现场移植条件进行）。</w:t>
      </w:r>
    </w:p>
    <w:p>
      <w:pPr>
        <w:ind w:firstLine="48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土球的挖掘：挖掘前，先用草绳将树冠围拢，其松紧程度以不折断树枝又不影响操作为度，然后铲除树干周围的浮土，以树干为中心，比规定的土球大3~5cm划一圆，并顺着此圆圈往外挖沟，沟宽60~80cm，深度以到土球所要求的高度为止。</w:t>
      </w:r>
    </w:p>
    <w:p>
      <w:pPr>
        <w:ind w:firstLine="48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土球的修整：修整土球用锋利的铁锨，遇到较粗的树根时，用锯或剪将根切断，不用铁锨硬扎，以防土球松散。当土球修整到1/2深度时，逐步向里收底，直到缩小到土球直径的1/3为止，然后将土球表面修整平滑，下部修一小平底，土球就算挖好了。</w:t>
      </w:r>
    </w:p>
    <w:p>
      <w:pPr>
        <w:ind w:firstLine="48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土球的包装：土球修好后，立即用草绳打上腰箍，腰箍的宽度一般为20cm左右，然后用蒲包或蒲包片将土球包严，并用草绳将腰部捆好，以防蒲包脱落，然后即打花箍：将双股草绳一头拴在树干上，然后将草绳绕过土球底部，顺序拉紧捆牢，草绳的间隔在8~10cm，土质不好的，还可以密些。花箍打好后，在土球外面结成网状，最后再在土球的腰部密捆10道左右的草绳，并在腰箍上打成花扣，以免草绳脱落。土球打好后，将树推倒，用蒲包将底堵严，用草绳捆好，土球的包装就完成了。</w:t>
      </w:r>
    </w:p>
    <w:p>
      <w:pPr>
        <w:ind w:firstLine="48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吊装：</w:t>
      </w:r>
      <w:r>
        <w:rPr>
          <w:rFonts w:hint="eastAsia" w:ascii="Times New Roman" w:hAnsi="Times New Roman" w:cs="Times New Roman"/>
          <w:kern w:val="0"/>
          <w:highlight w:val="none"/>
          <w:lang w:val="zh-CN"/>
        </w:rPr>
        <w:t>本次选用25t/50t起</w:t>
      </w:r>
      <w:r>
        <w:rPr>
          <w:rFonts w:ascii="Times New Roman" w:hAnsi="Times New Roman" w:cs="Times New Roman"/>
          <w:kern w:val="0"/>
          <w:highlight w:val="none"/>
          <w:lang w:val="zh-CN"/>
        </w:rPr>
        <w:t>重机作业，起重臂的长度不低于树高的两倍，以便操作，低于1</w:t>
      </w:r>
      <w:r>
        <w:rPr>
          <w:rFonts w:hint="eastAsia" w:ascii="Times New Roman" w:hAnsi="Times New Roman" w:cs="Times New Roman"/>
          <w:kern w:val="0"/>
          <w:highlight w:val="none"/>
          <w:lang w:val="en-US" w:eastAsia="zh-CN"/>
        </w:rPr>
        <w:t>.</w:t>
      </w:r>
      <w:r>
        <w:rPr>
          <w:rFonts w:ascii="Times New Roman" w:hAnsi="Times New Roman" w:cs="Times New Roman"/>
          <w:kern w:val="0"/>
          <w:highlight w:val="none"/>
          <w:lang w:val="zh-CN"/>
        </w:rPr>
        <w:t>5m的土球，用吊装带缠绕树干基部以上50cm处直接吊装</w:t>
      </w:r>
      <w:r>
        <w:rPr>
          <w:rFonts w:hint="eastAsia" w:ascii="Times New Roman" w:hAnsi="Times New Roman" w:cs="Times New Roman"/>
          <w:kern w:val="0"/>
          <w:highlight w:val="none"/>
          <w:lang w:val="zh-CN"/>
        </w:rPr>
        <w:t>（起吊</w:t>
      </w:r>
      <w:r>
        <w:rPr>
          <w:rFonts w:hint="eastAsia"/>
          <w:highlight w:val="none"/>
        </w:rPr>
        <w:t>严禁采用钢丝绳吊装</w:t>
      </w:r>
      <w:r>
        <w:rPr>
          <w:rFonts w:hint="eastAsia" w:ascii="Times New Roman" w:hAnsi="Times New Roman" w:cs="Times New Roman"/>
          <w:kern w:val="0"/>
          <w:highlight w:val="none"/>
          <w:lang w:val="zh-CN"/>
        </w:rPr>
        <w:t>）</w:t>
      </w:r>
      <w:r>
        <w:rPr>
          <w:rFonts w:ascii="Times New Roman" w:hAnsi="Times New Roman" w:cs="Times New Roman"/>
          <w:kern w:val="0"/>
          <w:highlight w:val="none"/>
          <w:lang w:val="zh-CN"/>
        </w:rPr>
        <w:t>，树干吊装处用草毡进行缠绕，树冠部分拉好风绳，保证起运过程和装车当中的方向不变，同时利于苗木整齐摆放。大于1</w:t>
      </w:r>
      <w:r>
        <w:rPr>
          <w:rFonts w:hint="eastAsia" w:ascii="Times New Roman" w:hAnsi="Times New Roman" w:cs="Times New Roman"/>
          <w:kern w:val="0"/>
          <w:highlight w:val="none"/>
          <w:lang w:val="en-US" w:eastAsia="zh-CN"/>
        </w:rPr>
        <w:t>.</w:t>
      </w:r>
      <w:r>
        <w:rPr>
          <w:rFonts w:ascii="Times New Roman" w:hAnsi="Times New Roman" w:cs="Times New Roman"/>
          <w:kern w:val="0"/>
          <w:highlight w:val="none"/>
          <w:lang w:val="zh-CN"/>
        </w:rPr>
        <w:t>5m的土球用三角式方法进行吊装，用两根吊带，一根系于树干基部，另一根视树干的重心约系于树干的分枝点处，将两处吊装带并拢直接起运，这对于保护树皮非常有利。</w:t>
      </w:r>
    </w:p>
    <w:p>
      <w:pPr>
        <w:ind w:firstLine="480"/>
        <w:jc w:val="center"/>
        <w:rPr>
          <w:highlight w:val="none"/>
        </w:rPr>
      </w:pPr>
      <w:r>
        <w:rPr>
          <w:highlight w:val="none"/>
        </w:rPr>
        <w:drawing>
          <wp:inline distT="0" distB="0" distL="114300" distR="114300">
            <wp:extent cx="4794250" cy="4272915"/>
            <wp:effectExtent l="0" t="0" r="6350" b="952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9" cstate="print"/>
                    <a:srcRect l="3453"/>
                    <a:stretch>
                      <a:fillRect/>
                    </a:stretch>
                  </pic:blipFill>
                  <pic:spPr>
                    <a:xfrm>
                      <a:off x="0" y="0"/>
                      <a:ext cx="4794250" cy="4272915"/>
                    </a:xfrm>
                    <a:prstGeom prst="rect">
                      <a:avLst/>
                    </a:prstGeom>
                    <a:noFill/>
                    <a:ln>
                      <a:noFill/>
                    </a:ln>
                  </pic:spPr>
                </pic:pic>
              </a:graphicData>
            </a:graphic>
          </wp:inline>
        </w:drawing>
      </w:r>
    </w:p>
    <w:p>
      <w:pPr>
        <w:pStyle w:val="7"/>
        <w:spacing w:after="156"/>
        <w:ind w:firstLine="420"/>
        <w:rPr>
          <w:sz w:val="21"/>
          <w:highlight w:val="none"/>
        </w:rPr>
      </w:pPr>
      <w:r>
        <w:rPr>
          <w:sz w:val="21"/>
          <w:highlight w:val="none"/>
        </w:rPr>
        <w:t xml:space="preserve">图 </w:t>
      </w:r>
      <w:r>
        <w:rPr>
          <w:rFonts w:hint="eastAsia"/>
          <w:sz w:val="21"/>
          <w:highlight w:val="none"/>
        </w:rPr>
        <w:t>4-</w:t>
      </w:r>
      <w:r>
        <w:rPr>
          <w:sz w:val="21"/>
          <w:highlight w:val="none"/>
        </w:rPr>
        <w:fldChar w:fldCharType="begin"/>
      </w:r>
      <w:r>
        <w:rPr>
          <w:sz w:val="21"/>
          <w:highlight w:val="none"/>
        </w:rPr>
        <w:instrText xml:space="preserve"> SEQ 图 \* ARABIC \s 1 </w:instrText>
      </w:r>
      <w:r>
        <w:rPr>
          <w:sz w:val="21"/>
          <w:highlight w:val="none"/>
        </w:rPr>
        <w:fldChar w:fldCharType="separate"/>
      </w:r>
      <w:r>
        <w:rPr>
          <w:sz w:val="21"/>
          <w:highlight w:val="none"/>
        </w:rPr>
        <w:t>2</w:t>
      </w:r>
      <w:r>
        <w:rPr>
          <w:sz w:val="21"/>
          <w:highlight w:val="none"/>
        </w:rPr>
        <w:fldChar w:fldCharType="end"/>
      </w:r>
      <w:r>
        <w:rPr>
          <w:rFonts w:hint="eastAsia"/>
          <w:sz w:val="21"/>
          <w:highlight w:val="none"/>
        </w:rPr>
        <w:t xml:space="preserve"> 树木吊装操作示意图</w:t>
      </w:r>
    </w:p>
    <w:p>
      <w:pPr>
        <w:ind w:firstLine="480"/>
        <w:rPr>
          <w:kern w:val="0"/>
          <w:highlight w:val="none"/>
          <w:lang w:val="zh-CN"/>
        </w:rPr>
      </w:pPr>
      <w:r>
        <w:rPr>
          <w:rFonts w:hint="eastAsia" w:ascii="宋体" w:hAnsi="宋体" w:cs="宋体"/>
          <w:highlight w:val="none"/>
          <w:lang w:eastAsia="zh-CN"/>
        </w:rPr>
        <w:t>（</w:t>
      </w:r>
      <w:r>
        <w:rPr>
          <w:rFonts w:hint="eastAsia" w:ascii="宋体" w:hAnsi="宋体" w:cs="宋体"/>
          <w:highlight w:val="none"/>
          <w:lang w:val="en-US" w:eastAsia="zh-CN"/>
        </w:rPr>
        <w:t>5</w:t>
      </w:r>
      <w:r>
        <w:rPr>
          <w:rFonts w:hint="eastAsia" w:ascii="宋体" w:hAnsi="宋体" w:cs="宋体"/>
          <w:highlight w:val="none"/>
          <w:lang w:eastAsia="zh-CN"/>
        </w:rPr>
        <w:t>）</w:t>
      </w:r>
      <w:r>
        <w:rPr>
          <w:rFonts w:hint="eastAsia" w:ascii="宋体" w:hAnsi="宋体" w:cs="宋体"/>
          <w:highlight w:val="none"/>
        </w:rPr>
        <w:t>运输：</w:t>
      </w:r>
      <w:r>
        <w:rPr>
          <w:kern w:val="0"/>
          <w:highlight w:val="none"/>
          <w:lang w:val="zh-CN"/>
        </w:rPr>
        <w:t>装车的方法是树王向后、土球向前交叉装车。我们选择性能良好的运输车，装车的重量不大于运输车载重量要求的30%，</w:t>
      </w:r>
      <w:r>
        <w:rPr>
          <w:rFonts w:hint="eastAsia" w:ascii="宋体" w:hAnsi="宋体" w:cs="宋体"/>
          <w:highlight w:val="none"/>
        </w:rPr>
        <w:t>苗木运到现场后应及时种植、确保当天种植完毕。带土苗木装车和运输时排列顺序就合理，捆绑稳固，卸车时应轻取轻放，不得损伤苗木及散泥球，</w:t>
      </w:r>
      <w:r>
        <w:rPr>
          <w:kern w:val="0"/>
          <w:highlight w:val="none"/>
          <w:lang w:val="zh-CN"/>
        </w:rPr>
        <w:t>以保证苗木及时安全运抵目的地。</w:t>
      </w:r>
    </w:p>
    <w:p>
      <w:pPr>
        <w:ind w:firstLine="480"/>
        <w:rPr>
          <w:rFonts w:ascii="宋体" w:hAnsi="宋体" w:cs="宋体"/>
          <w:highlight w:val="none"/>
        </w:rPr>
      </w:pPr>
      <w:r>
        <w:rPr>
          <w:rFonts w:hint="eastAsia" w:ascii="宋体" w:hAnsi="宋体" w:cs="宋体"/>
          <w:highlight w:val="none"/>
          <w:lang w:val="en-US" w:eastAsia="zh-CN"/>
        </w:rPr>
        <w:t>5</w:t>
      </w:r>
      <w:r>
        <w:rPr>
          <w:rFonts w:hint="eastAsia" w:ascii="宋体" w:hAnsi="宋体" w:cs="宋体"/>
          <w:highlight w:val="none"/>
        </w:rPr>
        <w:t>、栽种地种植穴开挖：为防止栽种地有关苗木种植穴开挖得过大或过深而影响日后苗木成活，所以栽种地种植穴的开挖务必于苗木起挖工作同步进行，按起挖修整后苗木的实际土球和相关规范要求布置种植穴的开挖大小及深度。</w:t>
      </w:r>
    </w:p>
    <w:p>
      <w:pPr>
        <w:ind w:firstLine="480"/>
        <w:rPr>
          <w:rFonts w:hint="default" w:ascii="宋体" w:hAnsi="宋体" w:eastAsia="宋体" w:cs="宋体"/>
          <w:highlight w:val="none"/>
          <w:lang w:val="en-US" w:eastAsia="zh-CN"/>
        </w:rPr>
      </w:pPr>
      <w:r>
        <w:rPr>
          <w:rFonts w:hint="eastAsia" w:ascii="宋体" w:hAnsi="宋体" w:cs="宋体"/>
          <w:highlight w:val="none"/>
          <w:lang w:val="en-US" w:eastAsia="zh-CN"/>
        </w:rPr>
        <w:t>6</w:t>
      </w:r>
      <w:r>
        <w:rPr>
          <w:rFonts w:hint="eastAsia" w:ascii="宋体" w:hAnsi="宋体" w:cs="宋体"/>
          <w:highlight w:val="none"/>
        </w:rPr>
        <w:t>、种植：种植时应注意观赏面的合理朝向，种植深度应与原种植线持平或稍高；回填的种植土应分层捣实，30～40cm一层；植物应保持直立、不得倾斜；定植后，拆除土球外包装物，及时浇透定根水</w:t>
      </w:r>
      <w:r>
        <w:rPr>
          <w:rFonts w:hint="eastAsia" w:ascii="宋体" w:hAnsi="宋体" w:cs="宋体"/>
          <w:highlight w:val="none"/>
          <w:lang w:eastAsia="zh-CN"/>
        </w:rPr>
        <w:t>，</w:t>
      </w:r>
      <w:r>
        <w:rPr>
          <w:rFonts w:hint="eastAsia" w:ascii="宋体" w:hAnsi="宋体" w:cs="宋体"/>
          <w:highlight w:val="none"/>
          <w:lang w:val="en-US" w:eastAsia="zh-CN"/>
        </w:rPr>
        <w:t>夏季气温高，为减少蒸腾作用，必要时对移植树木采用幕布覆盖进行遮阳处理。</w:t>
      </w:r>
    </w:p>
    <w:p>
      <w:pPr>
        <w:ind w:firstLine="480"/>
        <w:rPr>
          <w:rFonts w:ascii="宋体" w:hAnsi="宋体" w:cs="宋体"/>
          <w:highlight w:val="none"/>
        </w:rPr>
      </w:pPr>
      <w:r>
        <w:rPr>
          <w:rFonts w:hint="eastAsia" w:ascii="宋体" w:hAnsi="宋体" w:cs="宋体"/>
          <w:highlight w:val="none"/>
          <w:lang w:val="en-US" w:eastAsia="zh-CN"/>
        </w:rPr>
        <w:t>7</w:t>
      </w:r>
      <w:r>
        <w:rPr>
          <w:rFonts w:hint="eastAsia" w:ascii="宋体" w:hAnsi="宋体" w:cs="宋体"/>
          <w:highlight w:val="none"/>
        </w:rPr>
        <w:t>、做好树木支撑并及时投入养护工作。四角或三角桩扶架，扶架干的支撑点应在树干的2/3处，在树穴四周地面的支撑处应该放置高30cm的桩，将支撑干的地面支撑点在桩上用铁绳固定，支撑杆尾径不小于6cm。对于歪斜较严重的树木，在承受力大的一侧可多加一个支撑，并在支撑点处顶上一块适当的木板。发现土面下沉，必须及时调整支撑部位，防止吊桩。</w:t>
      </w:r>
    </w:p>
    <w:p>
      <w:pPr>
        <w:pStyle w:val="4"/>
        <w:rPr>
          <w:highlight w:val="none"/>
        </w:rPr>
      </w:pPr>
      <w:bookmarkStart w:id="12" w:name="_Toc6676"/>
      <w:r>
        <w:rPr>
          <w:rFonts w:hint="eastAsia"/>
          <w:highlight w:val="none"/>
          <w:lang w:val="en-US" w:eastAsia="zh-CN"/>
        </w:rPr>
        <w:t>六</w:t>
      </w:r>
      <w:r>
        <w:rPr>
          <w:rFonts w:hint="eastAsia"/>
          <w:highlight w:val="none"/>
        </w:rPr>
        <w:t>、进度计划</w:t>
      </w:r>
      <w:bookmarkEnd w:id="12"/>
    </w:p>
    <w:p>
      <w:pPr>
        <w:ind w:firstLine="480"/>
        <w:rPr>
          <w:rFonts w:hint="eastAsia" w:ascii="宋体" w:hAnsi="宋体" w:eastAsia="宋体" w:cs="宋体"/>
          <w:highlight w:val="none"/>
        </w:rPr>
      </w:pPr>
      <w:r>
        <w:rPr>
          <w:rFonts w:hint="eastAsia" w:ascii="宋体" w:hAnsi="宋体" w:eastAsia="宋体" w:cs="宋体"/>
          <w:highlight w:val="none"/>
        </w:rPr>
        <w:t>为减小对附近住户出入影响，本次树木迁移及路灯拆除分为</w:t>
      </w:r>
      <w:r>
        <w:rPr>
          <w:rFonts w:hint="eastAsia" w:ascii="宋体" w:hAnsi="宋体" w:cs="宋体"/>
          <w:highlight w:val="none"/>
          <w:lang w:val="en-US" w:eastAsia="zh-CN"/>
        </w:rPr>
        <w:t>4</w:t>
      </w:r>
      <w:r>
        <w:rPr>
          <w:rFonts w:hint="eastAsia" w:ascii="宋体" w:hAnsi="宋体" w:eastAsia="宋体" w:cs="宋体"/>
          <w:highlight w:val="none"/>
        </w:rPr>
        <w:t>个阶段进行，迁移及拆除前对施工范围进行围蔽，施工围蔽计划于2022年08月20日开始—2023年0</w:t>
      </w:r>
      <w:r>
        <w:rPr>
          <w:rFonts w:hint="eastAsia" w:ascii="宋体" w:hAnsi="宋体" w:cs="宋体"/>
          <w:highlight w:val="none"/>
          <w:lang w:val="en-US" w:eastAsia="zh-CN"/>
        </w:rPr>
        <w:t>5</w:t>
      </w:r>
      <w:r>
        <w:rPr>
          <w:rFonts w:hint="eastAsia" w:ascii="宋体" w:hAnsi="宋体" w:eastAsia="宋体" w:cs="宋体"/>
          <w:highlight w:val="none"/>
        </w:rPr>
        <w:t>月19日结束，详细施工围蔽计划如下：</w:t>
      </w:r>
    </w:p>
    <w:p>
      <w:pPr>
        <w:ind w:firstLine="480"/>
        <w:rPr>
          <w:rFonts w:hint="eastAsia" w:ascii="宋体" w:hAnsi="宋体" w:eastAsia="宋体" w:cs="宋体"/>
          <w:highlight w:val="none"/>
        </w:rPr>
      </w:pPr>
      <w:r>
        <w:rPr>
          <w:rFonts w:hint="eastAsia" w:ascii="宋体" w:hAnsi="宋体" w:eastAsia="宋体" w:cs="宋体"/>
          <w:highlight w:val="none"/>
        </w:rPr>
        <w:t>2022年08月31日至2022年10月19日黎湛铁路至中山二路（廉江汽车总站）段；</w:t>
      </w:r>
    </w:p>
    <w:p>
      <w:pPr>
        <w:ind w:firstLine="480"/>
        <w:rPr>
          <w:rFonts w:hint="eastAsia" w:ascii="宋体" w:hAnsi="宋体" w:eastAsia="宋体" w:cs="宋体"/>
          <w:highlight w:val="none"/>
        </w:rPr>
      </w:pPr>
      <w:r>
        <w:rPr>
          <w:rFonts w:hint="eastAsia" w:ascii="宋体" w:hAnsi="宋体" w:eastAsia="宋体" w:cs="宋体"/>
          <w:highlight w:val="none"/>
        </w:rPr>
        <w:t>2022年10月20日至2022年12月19日中山二路（廉江汽车总站）至南市路段段；</w:t>
      </w:r>
    </w:p>
    <w:p>
      <w:pPr>
        <w:ind w:firstLine="480"/>
        <w:rPr>
          <w:rFonts w:hint="eastAsia" w:ascii="宋体" w:hAnsi="宋体" w:eastAsia="宋体" w:cs="宋体"/>
          <w:highlight w:val="none"/>
        </w:rPr>
      </w:pPr>
      <w:r>
        <w:rPr>
          <w:rFonts w:hint="eastAsia" w:ascii="宋体" w:hAnsi="宋体" w:eastAsia="宋体" w:cs="宋体"/>
          <w:highlight w:val="none"/>
        </w:rPr>
        <w:t>2022年12月20日至2023年02月19日南市路至廉江大道（百信广场）段；</w:t>
      </w:r>
    </w:p>
    <w:p>
      <w:pPr>
        <w:ind w:firstLine="480"/>
        <w:rPr>
          <w:rFonts w:hint="eastAsia" w:ascii="宋体" w:hAnsi="宋体" w:eastAsia="宋体" w:cs="宋体"/>
          <w:highlight w:val="none"/>
        </w:rPr>
      </w:pPr>
      <w:r>
        <w:rPr>
          <w:rFonts w:hint="eastAsia" w:ascii="宋体" w:hAnsi="宋体" w:eastAsia="宋体" w:cs="宋体"/>
          <w:highlight w:val="none"/>
        </w:rPr>
        <w:t>2023年04月20日至2023年05月19日廉江大道（百信广场）至人民大道中段；</w:t>
      </w:r>
    </w:p>
    <w:p>
      <w:pPr>
        <w:pStyle w:val="4"/>
        <w:rPr>
          <w:highlight w:val="none"/>
        </w:rPr>
      </w:pPr>
      <w:bookmarkStart w:id="13" w:name="_Toc166"/>
      <w:r>
        <w:rPr>
          <w:rFonts w:hint="eastAsia"/>
          <w:highlight w:val="none"/>
          <w:lang w:val="en-US" w:eastAsia="zh-CN"/>
        </w:rPr>
        <w:t>七</w:t>
      </w:r>
      <w:r>
        <w:rPr>
          <w:rFonts w:hint="eastAsia"/>
          <w:highlight w:val="none"/>
        </w:rPr>
        <w:t>、人员设备投入情况</w:t>
      </w:r>
      <w:bookmarkEnd w:id="13"/>
      <w:r>
        <w:rPr>
          <w:rFonts w:hint="eastAsia"/>
          <w:highlight w:val="none"/>
        </w:rPr>
        <w:t xml:space="preserve"> </w:t>
      </w:r>
    </w:p>
    <w:p>
      <w:pPr>
        <w:widowControl/>
        <w:ind w:firstLine="480"/>
        <w:jc w:val="left"/>
        <w:rPr>
          <w:rFonts w:ascii="宋体" w:hAnsi="宋体" w:cs="宋体"/>
          <w:highlight w:val="none"/>
        </w:rPr>
      </w:pPr>
      <w:r>
        <w:rPr>
          <w:rFonts w:hint="eastAsia" w:ascii="宋体" w:hAnsi="宋体" w:cs="宋体"/>
          <w:highlight w:val="none"/>
        </w:rPr>
        <w:t>1）人员投入</w:t>
      </w:r>
    </w:p>
    <w:p>
      <w:pPr>
        <w:pStyle w:val="7"/>
        <w:spacing w:afterLines="0"/>
        <w:ind w:firstLine="480"/>
        <w:rPr>
          <w:sz w:val="21"/>
          <w:szCs w:val="21"/>
          <w:highlight w:val="none"/>
        </w:rPr>
      </w:pPr>
      <w:r>
        <w:rPr>
          <w:sz w:val="21"/>
          <w:szCs w:val="21"/>
          <w:highlight w:val="none"/>
        </w:rPr>
        <w:t xml:space="preserve">表 </w:t>
      </w:r>
      <w:r>
        <w:rPr>
          <w:rFonts w:hint="eastAsia"/>
          <w:sz w:val="21"/>
          <w:szCs w:val="21"/>
          <w:highlight w:val="none"/>
        </w:rPr>
        <w:t>4-</w:t>
      </w:r>
      <w:r>
        <w:rPr>
          <w:sz w:val="21"/>
          <w:szCs w:val="21"/>
          <w:highlight w:val="none"/>
        </w:rPr>
        <w:fldChar w:fldCharType="begin"/>
      </w:r>
      <w:r>
        <w:rPr>
          <w:sz w:val="21"/>
          <w:szCs w:val="21"/>
          <w:highlight w:val="none"/>
        </w:rPr>
        <w:instrText xml:space="preserve"> SEQ 表 \* ARABIC \s 1 </w:instrText>
      </w:r>
      <w:r>
        <w:rPr>
          <w:sz w:val="21"/>
          <w:szCs w:val="21"/>
          <w:highlight w:val="none"/>
        </w:rPr>
        <w:fldChar w:fldCharType="separate"/>
      </w:r>
      <w:r>
        <w:rPr>
          <w:sz w:val="21"/>
          <w:szCs w:val="21"/>
          <w:highlight w:val="none"/>
        </w:rPr>
        <w:t>1</w:t>
      </w:r>
      <w:r>
        <w:rPr>
          <w:sz w:val="21"/>
          <w:szCs w:val="21"/>
          <w:highlight w:val="none"/>
        </w:rPr>
        <w:fldChar w:fldCharType="end"/>
      </w:r>
      <w:r>
        <w:rPr>
          <w:rFonts w:hint="eastAsia"/>
          <w:sz w:val="21"/>
          <w:szCs w:val="21"/>
          <w:highlight w:val="none"/>
        </w:rPr>
        <w:t>人员投入计划表</w:t>
      </w:r>
    </w:p>
    <w:tbl>
      <w:tblPr>
        <w:tblStyle w:val="20"/>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2913"/>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序号</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工种</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数量</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2913" w:type="dxa"/>
            <w:vAlign w:val="center"/>
          </w:tcPr>
          <w:p>
            <w:pPr>
              <w:widowControl/>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技术负责人</w:t>
            </w:r>
          </w:p>
        </w:tc>
        <w:tc>
          <w:tcPr>
            <w:tcW w:w="2321" w:type="dxa"/>
            <w:vAlign w:val="center"/>
          </w:tcPr>
          <w:p>
            <w:pPr>
              <w:widowControl/>
              <w:ind w:firstLine="0" w:firstLineChars="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2321" w:type="dxa"/>
            <w:vAlign w:val="center"/>
          </w:tcPr>
          <w:p>
            <w:pPr>
              <w:widowControl/>
              <w:ind w:firstLine="0" w:firstLineChars="0"/>
              <w:jc w:val="center"/>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2913" w:type="dxa"/>
            <w:vAlign w:val="center"/>
          </w:tcPr>
          <w:p>
            <w:pPr>
              <w:widowControl/>
              <w:ind w:firstLine="0" w:firstLineChars="0"/>
              <w:jc w:val="center"/>
              <w:rPr>
                <w:rFonts w:hint="eastAsia" w:ascii="宋体" w:hAnsi="宋体" w:cs="宋体"/>
                <w:szCs w:val="21"/>
                <w:highlight w:val="none"/>
              </w:rPr>
            </w:pPr>
            <w:r>
              <w:rPr>
                <w:rFonts w:hint="eastAsia" w:ascii="宋体" w:hAnsi="宋体" w:cs="宋体"/>
                <w:szCs w:val="21"/>
                <w:highlight w:val="none"/>
                <w:lang w:val="en-US" w:eastAsia="zh-CN"/>
              </w:rPr>
              <w:t>管理人员</w:t>
            </w:r>
          </w:p>
        </w:tc>
        <w:tc>
          <w:tcPr>
            <w:tcW w:w="2321" w:type="dxa"/>
            <w:vAlign w:val="center"/>
          </w:tcPr>
          <w:p>
            <w:pPr>
              <w:widowControl/>
              <w:ind w:firstLine="0" w:firstLineChars="0"/>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5</w:t>
            </w:r>
          </w:p>
        </w:tc>
        <w:tc>
          <w:tcPr>
            <w:tcW w:w="2321" w:type="dxa"/>
            <w:vAlign w:val="center"/>
          </w:tcPr>
          <w:p>
            <w:pPr>
              <w:widowControl/>
              <w:ind w:firstLine="0" w:firstLineChars="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3</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普工</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0</w:t>
            </w:r>
          </w:p>
        </w:tc>
        <w:tc>
          <w:tcPr>
            <w:tcW w:w="2321" w:type="dxa"/>
            <w:vAlign w:val="center"/>
          </w:tcPr>
          <w:p>
            <w:pPr>
              <w:widowControl/>
              <w:ind w:firstLine="0" w:firstLineChars="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4</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电工</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3</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持特种作业证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5</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绿化工</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3</w:t>
            </w:r>
          </w:p>
        </w:tc>
        <w:tc>
          <w:tcPr>
            <w:tcW w:w="2321" w:type="dxa"/>
            <w:vAlign w:val="center"/>
          </w:tcPr>
          <w:p>
            <w:pPr>
              <w:widowControl/>
              <w:ind w:firstLine="0" w:firstLineChars="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6</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汽车吊司机</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3</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持特种作业证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7</w:t>
            </w:r>
          </w:p>
        </w:tc>
        <w:tc>
          <w:tcPr>
            <w:tcW w:w="2913" w:type="dxa"/>
            <w:vAlign w:val="center"/>
          </w:tcPr>
          <w:p>
            <w:pPr>
              <w:widowControl/>
              <w:ind w:firstLine="0" w:firstLineChars="0"/>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司索工</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3</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持特种作业证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8</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挖机司机</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2321" w:type="dxa"/>
            <w:vAlign w:val="center"/>
          </w:tcPr>
          <w:p>
            <w:pPr>
              <w:widowControl/>
              <w:ind w:firstLine="0" w:firstLineChars="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lang w:val="en-US" w:eastAsia="zh-CN"/>
              </w:rPr>
              <w:t>9</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运输车司机</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4</w:t>
            </w:r>
          </w:p>
        </w:tc>
        <w:tc>
          <w:tcPr>
            <w:tcW w:w="2321" w:type="dxa"/>
            <w:vAlign w:val="center"/>
          </w:tcPr>
          <w:p>
            <w:pPr>
              <w:widowControl/>
              <w:ind w:firstLine="0" w:firstLineChars="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27" w:type="dxa"/>
            <w:vAlign w:val="center"/>
          </w:tcPr>
          <w:p>
            <w:pPr>
              <w:widowControl/>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2913"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水车司机</w:t>
            </w:r>
          </w:p>
        </w:tc>
        <w:tc>
          <w:tcPr>
            <w:tcW w:w="2321"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2321" w:type="dxa"/>
            <w:vAlign w:val="center"/>
          </w:tcPr>
          <w:p>
            <w:pPr>
              <w:widowControl/>
              <w:ind w:firstLine="0" w:firstLineChars="0"/>
              <w:jc w:val="center"/>
              <w:rPr>
                <w:rFonts w:ascii="宋体" w:hAnsi="宋体" w:cs="宋体"/>
                <w:szCs w:val="21"/>
                <w:highlight w:val="none"/>
              </w:rPr>
            </w:pPr>
          </w:p>
        </w:tc>
      </w:tr>
    </w:tbl>
    <w:p>
      <w:pPr>
        <w:widowControl/>
        <w:numPr>
          <w:ilvl w:val="0"/>
          <w:numId w:val="3"/>
        </w:numPr>
        <w:ind w:firstLine="480"/>
        <w:jc w:val="left"/>
        <w:rPr>
          <w:rFonts w:ascii="宋体" w:hAnsi="宋体" w:cs="宋体"/>
          <w:highlight w:val="none"/>
        </w:rPr>
      </w:pPr>
      <w:r>
        <w:rPr>
          <w:rFonts w:hint="eastAsia" w:ascii="宋体" w:hAnsi="宋体" w:cs="宋体"/>
          <w:highlight w:val="none"/>
        </w:rPr>
        <w:t>设备投入</w:t>
      </w:r>
    </w:p>
    <w:p>
      <w:pPr>
        <w:pStyle w:val="7"/>
        <w:spacing w:afterLines="0"/>
        <w:ind w:firstLine="480"/>
        <w:rPr>
          <w:sz w:val="21"/>
          <w:szCs w:val="21"/>
          <w:highlight w:val="none"/>
        </w:rPr>
      </w:pPr>
      <w:r>
        <w:rPr>
          <w:sz w:val="21"/>
          <w:szCs w:val="21"/>
          <w:highlight w:val="none"/>
        </w:rPr>
        <w:t xml:space="preserve">表 </w:t>
      </w:r>
      <w:r>
        <w:rPr>
          <w:rFonts w:hint="eastAsia"/>
          <w:sz w:val="21"/>
          <w:szCs w:val="21"/>
          <w:highlight w:val="none"/>
        </w:rPr>
        <w:t>4-</w:t>
      </w:r>
      <w:r>
        <w:rPr>
          <w:sz w:val="21"/>
          <w:szCs w:val="21"/>
          <w:highlight w:val="none"/>
        </w:rPr>
        <w:fldChar w:fldCharType="begin"/>
      </w:r>
      <w:r>
        <w:rPr>
          <w:sz w:val="21"/>
          <w:szCs w:val="21"/>
          <w:highlight w:val="none"/>
        </w:rPr>
        <w:instrText xml:space="preserve"> SEQ 表 \* ARABIC \s 1 </w:instrText>
      </w:r>
      <w:r>
        <w:rPr>
          <w:sz w:val="21"/>
          <w:szCs w:val="21"/>
          <w:highlight w:val="none"/>
        </w:rPr>
        <w:fldChar w:fldCharType="separate"/>
      </w:r>
      <w:r>
        <w:rPr>
          <w:sz w:val="21"/>
          <w:szCs w:val="21"/>
          <w:highlight w:val="none"/>
        </w:rPr>
        <w:t>2</w:t>
      </w:r>
      <w:r>
        <w:rPr>
          <w:sz w:val="21"/>
          <w:szCs w:val="21"/>
          <w:highlight w:val="none"/>
        </w:rPr>
        <w:fldChar w:fldCharType="end"/>
      </w:r>
      <w:r>
        <w:rPr>
          <w:rFonts w:hint="eastAsia"/>
          <w:sz w:val="21"/>
          <w:szCs w:val="21"/>
          <w:highlight w:val="none"/>
        </w:rPr>
        <w:t xml:space="preserve"> 设备投入计划表</w:t>
      </w:r>
    </w:p>
    <w:tbl>
      <w:tblPr>
        <w:tblStyle w:val="20"/>
        <w:tblW w:w="9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2319"/>
        <w:gridCol w:w="1847"/>
        <w:gridCol w:w="1847"/>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序号</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机械设备</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单位</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数量</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1</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120挖机</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台</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1847" w:type="dxa"/>
            <w:vAlign w:val="center"/>
          </w:tcPr>
          <w:p>
            <w:pPr>
              <w:widowControl/>
              <w:ind w:firstLine="48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25t汽车吊</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台</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1847" w:type="dxa"/>
            <w:vAlign w:val="center"/>
          </w:tcPr>
          <w:p>
            <w:pPr>
              <w:widowControl/>
              <w:ind w:firstLine="48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3</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50t汽车吊</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台</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1</w:t>
            </w:r>
          </w:p>
        </w:tc>
        <w:tc>
          <w:tcPr>
            <w:tcW w:w="1847" w:type="dxa"/>
            <w:vAlign w:val="center"/>
          </w:tcPr>
          <w:p>
            <w:pPr>
              <w:widowControl/>
              <w:ind w:firstLine="48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4</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9、6m运输车</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辆</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4</w:t>
            </w:r>
          </w:p>
        </w:tc>
        <w:tc>
          <w:tcPr>
            <w:tcW w:w="1847" w:type="dxa"/>
            <w:vAlign w:val="center"/>
          </w:tcPr>
          <w:p>
            <w:pPr>
              <w:widowControl/>
              <w:ind w:firstLine="480"/>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5</w:t>
            </w:r>
          </w:p>
        </w:tc>
        <w:tc>
          <w:tcPr>
            <w:tcW w:w="2319"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val="en-US" w:eastAsia="zh-CN"/>
              </w:rPr>
              <w:t>0m³</w:t>
            </w:r>
            <w:r>
              <w:rPr>
                <w:rFonts w:hint="eastAsia" w:ascii="宋体" w:hAnsi="宋体" w:cs="宋体"/>
                <w:szCs w:val="21"/>
                <w:highlight w:val="none"/>
              </w:rPr>
              <w:t>水车</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辆</w:t>
            </w:r>
          </w:p>
        </w:tc>
        <w:tc>
          <w:tcPr>
            <w:tcW w:w="1847" w:type="dxa"/>
            <w:vAlign w:val="center"/>
          </w:tcPr>
          <w:p>
            <w:pPr>
              <w:widowControl/>
              <w:ind w:firstLine="0" w:firstLineChars="0"/>
              <w:jc w:val="center"/>
              <w:rPr>
                <w:rFonts w:ascii="宋体" w:hAnsi="宋体" w:cs="宋体"/>
                <w:szCs w:val="21"/>
                <w:highlight w:val="none"/>
              </w:rPr>
            </w:pPr>
            <w:r>
              <w:rPr>
                <w:rFonts w:hint="eastAsia" w:ascii="宋体" w:hAnsi="宋体" w:cs="宋体"/>
                <w:szCs w:val="21"/>
                <w:highlight w:val="none"/>
              </w:rPr>
              <w:t>2</w:t>
            </w:r>
          </w:p>
        </w:tc>
        <w:tc>
          <w:tcPr>
            <w:tcW w:w="1847" w:type="dxa"/>
            <w:vAlign w:val="center"/>
          </w:tcPr>
          <w:p>
            <w:pPr>
              <w:widowControl/>
              <w:ind w:firstLine="480"/>
              <w:jc w:val="center"/>
              <w:rPr>
                <w:rFonts w:ascii="宋体" w:hAnsi="宋体" w:cs="宋体"/>
                <w:szCs w:val="21"/>
                <w:highlight w:val="none"/>
              </w:rPr>
            </w:pPr>
          </w:p>
        </w:tc>
      </w:tr>
    </w:tbl>
    <w:p>
      <w:pPr>
        <w:ind w:firstLine="560"/>
        <w:rPr>
          <w:highlight w:val="none"/>
        </w:rPr>
      </w:pPr>
      <w:r>
        <w:rPr>
          <w:rFonts w:hint="eastAsia" w:ascii="新宋体" w:hAnsi="新宋体" w:eastAsia="新宋体" w:cs="新宋体"/>
          <w:color w:val="000000"/>
          <w:kern w:val="0"/>
          <w:sz w:val="28"/>
          <w:szCs w:val="28"/>
          <w:highlight w:val="none"/>
        </w:rPr>
        <w:br w:type="page"/>
      </w:r>
    </w:p>
    <w:p>
      <w:pPr>
        <w:pStyle w:val="3"/>
        <w:numPr>
          <w:ilvl w:val="0"/>
          <w:numId w:val="1"/>
        </w:numPr>
        <w:spacing w:before="0" w:after="200" w:line="480" w:lineRule="auto"/>
        <w:ind w:firstLine="562"/>
        <w:jc w:val="center"/>
        <w:rPr>
          <w:sz w:val="28"/>
          <w:szCs w:val="28"/>
          <w:highlight w:val="none"/>
        </w:rPr>
      </w:pPr>
      <w:bookmarkStart w:id="14" w:name="_Toc11034"/>
      <w:r>
        <w:rPr>
          <w:rFonts w:hint="eastAsia"/>
          <w:sz w:val="28"/>
          <w:szCs w:val="28"/>
          <w:highlight w:val="none"/>
        </w:rPr>
        <w:t>树木移植的成活保证技术措施</w:t>
      </w:r>
      <w:bookmarkEnd w:id="14"/>
    </w:p>
    <w:p>
      <w:pPr>
        <w:pStyle w:val="4"/>
        <w:rPr>
          <w:highlight w:val="none"/>
        </w:rPr>
      </w:pPr>
      <w:bookmarkStart w:id="15" w:name="_Toc20660"/>
      <w:r>
        <w:rPr>
          <w:rFonts w:hint="eastAsia"/>
          <w:highlight w:val="none"/>
        </w:rPr>
        <w:t>一、排水措施</w:t>
      </w:r>
      <w:bookmarkEnd w:id="15"/>
    </w:p>
    <w:p>
      <w:pPr>
        <w:ind w:firstLine="480"/>
        <w:rPr>
          <w:highlight w:val="none"/>
        </w:rPr>
      </w:pPr>
      <w:r>
        <w:rPr>
          <w:rFonts w:hint="eastAsia"/>
          <w:highlight w:val="none"/>
        </w:rPr>
        <w:t>在树穴底部铺设 8～10cm 厚的粗粒石或珍珠岩作透水层并铺设渗水管，然后回填30cm左右的种植土再栽植。遇地下水位高时，插入 10～15cm 管径的水管到树穴内，通过人工或水泵抽水等方式排去积水。</w:t>
      </w:r>
    </w:p>
    <w:p>
      <w:pPr>
        <w:pStyle w:val="4"/>
        <w:rPr>
          <w:highlight w:val="none"/>
        </w:rPr>
      </w:pPr>
      <w:bookmarkStart w:id="16" w:name="_Toc29367"/>
      <w:r>
        <w:rPr>
          <w:rFonts w:hint="eastAsia"/>
          <w:highlight w:val="none"/>
        </w:rPr>
        <w:t>二、透气措施</w:t>
      </w:r>
      <w:bookmarkEnd w:id="16"/>
    </w:p>
    <w:p>
      <w:pPr>
        <w:ind w:firstLine="480"/>
        <w:rPr>
          <w:highlight w:val="none"/>
        </w:rPr>
      </w:pPr>
      <w:r>
        <w:rPr>
          <w:rFonts w:hint="eastAsia"/>
          <w:highlight w:val="none"/>
        </w:rPr>
        <w:t xml:space="preserve">在靠近土球插入2～3条直径15cm～20cm 的透气管，埋深达土球的 2/3 处。 </w:t>
      </w:r>
    </w:p>
    <w:p>
      <w:pPr>
        <w:pStyle w:val="4"/>
        <w:rPr>
          <w:highlight w:val="none"/>
        </w:rPr>
      </w:pPr>
      <w:bookmarkStart w:id="17" w:name="_Toc3879"/>
      <w:r>
        <w:rPr>
          <w:rFonts w:hint="eastAsia"/>
          <w:highlight w:val="none"/>
        </w:rPr>
        <w:t>三、生根措施</w:t>
      </w:r>
      <w:bookmarkEnd w:id="17"/>
    </w:p>
    <w:p>
      <w:pPr>
        <w:ind w:firstLine="480"/>
        <w:rPr>
          <w:highlight w:val="none"/>
        </w:rPr>
      </w:pPr>
      <w:r>
        <w:rPr>
          <w:rFonts w:hint="eastAsia"/>
          <w:highlight w:val="none"/>
        </w:rPr>
        <w:t>对于切根的根部及时喷洒ABT生根粉，或用合适深度生根剂泥浆涂裹根部，促进萌生须根。</w:t>
      </w:r>
    </w:p>
    <w:p>
      <w:pPr>
        <w:pStyle w:val="4"/>
        <w:rPr>
          <w:highlight w:val="none"/>
        </w:rPr>
      </w:pPr>
      <w:bookmarkStart w:id="18" w:name="_Toc16793"/>
      <w:r>
        <w:rPr>
          <w:rFonts w:hint="eastAsia"/>
          <w:highlight w:val="none"/>
        </w:rPr>
        <w:t>四、保水措施</w:t>
      </w:r>
      <w:bookmarkEnd w:id="18"/>
    </w:p>
    <w:p>
      <w:pPr>
        <w:ind w:firstLine="480"/>
        <w:rPr>
          <w:highlight w:val="none"/>
        </w:rPr>
      </w:pPr>
      <w:r>
        <w:rPr>
          <w:rFonts w:hint="eastAsia"/>
          <w:highlight w:val="none"/>
        </w:rPr>
        <w:t>气温较高或空气干燥时，应对地上部分树冠及周围环境喷雾降温，也可用遮阴网搭建荫棚防止日晒。树枝切口保水涂漆或蜡，必要时进行吸水性材料绕干在保水的同时降温。</w:t>
      </w:r>
    </w:p>
    <w:p>
      <w:pPr>
        <w:pStyle w:val="4"/>
        <w:rPr>
          <w:highlight w:val="none"/>
        </w:rPr>
      </w:pPr>
      <w:bookmarkStart w:id="19" w:name="_Toc9582"/>
      <w:r>
        <w:rPr>
          <w:rFonts w:hint="eastAsia"/>
          <w:highlight w:val="none"/>
        </w:rPr>
        <w:t>五、营养液</w:t>
      </w:r>
      <w:bookmarkEnd w:id="19"/>
    </w:p>
    <w:p>
      <w:pPr>
        <w:ind w:firstLine="480"/>
        <w:rPr>
          <w:highlight w:val="none"/>
        </w:rPr>
      </w:pPr>
      <w:r>
        <w:rPr>
          <w:highlight w:val="none"/>
        </w:rPr>
        <w:t>打孔</w:t>
      </w:r>
      <w:r>
        <w:rPr>
          <w:rFonts w:hint="eastAsia"/>
          <w:highlight w:val="none"/>
        </w:rPr>
        <w:t>:</w:t>
      </w:r>
      <w:r>
        <w:rPr>
          <w:highlight w:val="none"/>
        </w:rPr>
        <w:t>输液洞孔孔径大小应与输液插头直径相匹配，在刮去皮的地方用电钻打孔，钻头斜向下45°角，深度保持在3cm至5cm之间，用电钻把木屑带出。</w:t>
      </w:r>
    </w:p>
    <w:p>
      <w:pPr>
        <w:ind w:firstLine="480"/>
        <w:rPr>
          <w:highlight w:val="none"/>
        </w:rPr>
      </w:pPr>
      <w:r>
        <w:rPr>
          <w:highlight w:val="none"/>
        </w:rPr>
        <w:t>安装装置</w:t>
      </w:r>
      <w:r>
        <w:rPr>
          <w:rFonts w:hint="eastAsia"/>
          <w:highlight w:val="none"/>
        </w:rPr>
        <w:t>：</w:t>
      </w:r>
      <w:r>
        <w:rPr>
          <w:highlight w:val="none"/>
        </w:rPr>
        <w:t>在所打孔上方1、3m处用锤子钉上钉子，在钉子上挂上“树生”等大树营养液，等液体流出时把输液器插入。</w:t>
      </w:r>
    </w:p>
    <w:p>
      <w:pPr>
        <w:ind w:firstLine="480"/>
        <w:rPr>
          <w:highlight w:val="none"/>
        </w:rPr>
      </w:pPr>
      <w:r>
        <w:rPr>
          <w:highlight w:val="none"/>
        </w:rPr>
        <w:t>输液的过程</w:t>
      </w:r>
      <w:r>
        <w:rPr>
          <w:rFonts w:hint="eastAsia"/>
          <w:highlight w:val="none"/>
        </w:rPr>
        <w:t>：</w:t>
      </w:r>
      <w:r>
        <w:rPr>
          <w:highlight w:val="none"/>
        </w:rPr>
        <w:t>一袋营养液一般需3小时至5小时输完。有的营养液输得很慢，要及时用电钻重新打孔，把输液器换到新孔内。旧孔用已经剪好的小木棍插入，用喷壶喷上杀菌剂（75%百菌清可湿性粉剂300倍液），再用杀菌剂溶液和的泥抹在孔口处。</w:t>
      </w:r>
    </w:p>
    <w:p>
      <w:pPr>
        <w:ind w:firstLine="480"/>
        <w:rPr>
          <w:highlight w:val="none"/>
        </w:rPr>
      </w:pPr>
      <w:r>
        <w:rPr>
          <w:highlight w:val="none"/>
        </w:rPr>
        <w:t>摘除及封口</w:t>
      </w:r>
      <w:r>
        <w:rPr>
          <w:rFonts w:hint="eastAsia"/>
          <w:highlight w:val="none"/>
        </w:rPr>
        <w:t>：</w:t>
      </w:r>
      <w:r>
        <w:rPr>
          <w:highlight w:val="none"/>
        </w:rPr>
        <w:t>液体流完后，拔下输液器，用小木棍插入孔中，在孔口处喷上杀菌剂，再用杀菌剂和的泥抹在孔口处。取下输液袋，用钳子拔下钉子，用含杀菌剂的泥抹在钉子眼处，防止细菌感染。</w:t>
      </w:r>
    </w:p>
    <w:p>
      <w:pPr>
        <w:widowControl/>
        <w:ind w:firstLine="480"/>
        <w:jc w:val="left"/>
        <w:rPr>
          <w:rFonts w:ascii="宋体" w:hAnsi="宋体" w:cs="宋体"/>
          <w:highlight w:val="none"/>
        </w:rPr>
        <w:sectPr>
          <w:footerReference r:id="rId7" w:type="default"/>
          <w:pgSz w:w="11906" w:h="16838"/>
          <w:pgMar w:top="1417" w:right="1418" w:bottom="1417" w:left="1418" w:header="851" w:footer="992" w:gutter="0"/>
          <w:pgNumType w:start="1"/>
          <w:cols w:space="425" w:num="1"/>
          <w:docGrid w:type="linesAndChars" w:linePitch="312" w:charSpace="0"/>
        </w:sectPr>
      </w:pPr>
    </w:p>
    <w:p>
      <w:pPr>
        <w:pStyle w:val="3"/>
        <w:numPr>
          <w:ilvl w:val="0"/>
          <w:numId w:val="1"/>
        </w:numPr>
        <w:spacing w:before="0" w:after="200" w:line="480" w:lineRule="auto"/>
        <w:ind w:firstLine="562"/>
        <w:jc w:val="center"/>
        <w:rPr>
          <w:sz w:val="28"/>
          <w:szCs w:val="28"/>
          <w:highlight w:val="none"/>
        </w:rPr>
      </w:pPr>
      <w:bookmarkStart w:id="20" w:name="_Toc4386"/>
      <w:r>
        <w:rPr>
          <w:rFonts w:hint="eastAsia"/>
          <w:sz w:val="28"/>
          <w:szCs w:val="28"/>
          <w:highlight w:val="none"/>
        </w:rPr>
        <w:t>安全文明施工措施</w:t>
      </w:r>
      <w:bookmarkEnd w:id="20"/>
    </w:p>
    <w:p>
      <w:pPr>
        <w:pStyle w:val="4"/>
        <w:rPr>
          <w:highlight w:val="none"/>
        </w:rPr>
      </w:pPr>
      <w:bookmarkStart w:id="21" w:name="_Toc11875"/>
      <w:r>
        <w:rPr>
          <w:rFonts w:hint="eastAsia"/>
          <w:highlight w:val="none"/>
        </w:rPr>
        <w:t>一、苗木移植工作施工前的宣传</w:t>
      </w:r>
      <w:r>
        <w:rPr>
          <w:rFonts w:hint="eastAsia"/>
          <w:highlight w:val="none"/>
          <w:lang w:val="en-US" w:eastAsia="zh-CN"/>
        </w:rPr>
        <w:t>及交底</w:t>
      </w:r>
      <w:r>
        <w:rPr>
          <w:rFonts w:hint="eastAsia"/>
          <w:highlight w:val="none"/>
        </w:rPr>
        <w:t>工作</w:t>
      </w:r>
      <w:bookmarkEnd w:id="21"/>
    </w:p>
    <w:p>
      <w:pPr>
        <w:ind w:firstLine="480"/>
        <w:rPr>
          <w:rFonts w:hint="default" w:eastAsia="宋体"/>
          <w:highlight w:val="none"/>
          <w:lang w:val="en-US" w:eastAsia="zh-CN"/>
        </w:rPr>
      </w:pPr>
      <w:r>
        <w:rPr>
          <w:rFonts w:hint="eastAsia"/>
          <w:highlight w:val="none"/>
        </w:rPr>
        <w:t>为了本次苗木的移植施工工作能有序地进行，避免施工过程中不必要的矛盾出现（类似片区居民或者有关政府部门的阻碍等等），所以必须做好本次有关苗木迁移工作的申报及在施工实施前一个或两个星期前做好迁移开展工作的公示，</w:t>
      </w:r>
      <w:r>
        <w:rPr>
          <w:rFonts w:hint="eastAsia"/>
          <w:highlight w:val="none"/>
          <w:lang w:val="en-US" w:eastAsia="zh-CN"/>
        </w:rPr>
        <w:t>在</w:t>
      </w:r>
      <w:r>
        <w:rPr>
          <w:rFonts w:hint="eastAsia"/>
          <w:highlight w:val="none"/>
        </w:rPr>
        <w:t>施工实施时在施工范围前后同时放置施工许可等说明</w:t>
      </w:r>
      <w:r>
        <w:rPr>
          <w:rFonts w:hint="eastAsia"/>
          <w:highlight w:val="none"/>
          <w:lang w:eastAsia="zh-CN"/>
        </w:rPr>
        <w:t>，</w:t>
      </w:r>
      <w:r>
        <w:rPr>
          <w:rFonts w:hint="eastAsia"/>
          <w:highlight w:val="none"/>
          <w:lang w:val="en-US" w:eastAsia="zh-CN"/>
        </w:rPr>
        <w:t>施工前，对全体施工人员进行施工方案的交底。</w:t>
      </w:r>
    </w:p>
    <w:p>
      <w:pPr>
        <w:pStyle w:val="4"/>
        <w:rPr>
          <w:highlight w:val="none"/>
        </w:rPr>
      </w:pPr>
      <w:bookmarkStart w:id="22" w:name="_Toc949"/>
      <w:r>
        <w:rPr>
          <w:rFonts w:hint="eastAsia"/>
          <w:highlight w:val="none"/>
        </w:rPr>
        <w:t>二、交通维护措施</w:t>
      </w:r>
      <w:bookmarkEnd w:id="22"/>
      <w:r>
        <w:rPr>
          <w:rFonts w:hint="eastAsia"/>
          <w:highlight w:val="none"/>
        </w:rPr>
        <w:t xml:space="preserve"> </w:t>
      </w:r>
    </w:p>
    <w:p>
      <w:pPr>
        <w:ind w:firstLine="480"/>
        <w:rPr>
          <w:highlight w:val="none"/>
        </w:rPr>
      </w:pPr>
      <w:r>
        <w:rPr>
          <w:rFonts w:hint="eastAsia"/>
          <w:highlight w:val="none"/>
        </w:rPr>
        <w:t xml:space="preserve">为方便施工，树木迁移前临时围蔽辅道进行施工，围挡按照路缘 石向外扩宽 3、5 m进行绿化迁移施工，施工围挡采用 1500*1200 铁马及 2m 高彩钢板围挡两种围蔽临时作业，围蔽段预留大门方便施工车辆通行。 </w:t>
      </w:r>
    </w:p>
    <w:p>
      <w:pPr>
        <w:pStyle w:val="4"/>
        <w:rPr>
          <w:highlight w:val="none"/>
        </w:rPr>
      </w:pPr>
      <w:bookmarkStart w:id="23" w:name="_Toc20973"/>
      <w:r>
        <w:rPr>
          <w:rFonts w:hint="eastAsia"/>
          <w:highlight w:val="none"/>
        </w:rPr>
        <w:t>二、苗木移植时的安全措施</w:t>
      </w:r>
      <w:bookmarkEnd w:id="23"/>
      <w:r>
        <w:rPr>
          <w:rFonts w:hint="eastAsia"/>
          <w:highlight w:val="none"/>
        </w:rPr>
        <w:t xml:space="preserve"> </w:t>
      </w:r>
    </w:p>
    <w:p>
      <w:pPr>
        <w:ind w:firstLine="480"/>
        <w:rPr>
          <w:highlight w:val="none"/>
        </w:rPr>
      </w:pPr>
      <w:r>
        <w:rPr>
          <w:rFonts w:hint="eastAsia"/>
          <w:highlight w:val="none"/>
        </w:rPr>
        <w:t>1、作业前必须对现场环境（如地下管线的种类、深度、架空线的种类及净空高度）、运输线路（道路宽度、路面质量、立体交叉的净空高度）、其它空间障碍物、桥涵、宽度、承载车能力及有效的转弯半径等进行调查了解后，制定出安全措施，方可施工。</w:t>
      </w:r>
    </w:p>
    <w:p>
      <w:pPr>
        <w:ind w:firstLine="480"/>
        <w:rPr>
          <w:highlight w:val="none"/>
        </w:rPr>
      </w:pPr>
      <w:r>
        <w:rPr>
          <w:rFonts w:hint="eastAsia"/>
          <w:highlight w:val="none"/>
        </w:rPr>
        <w:t>2、挖掘树木前，先将树木支撑稳固。</w:t>
      </w:r>
    </w:p>
    <w:p>
      <w:pPr>
        <w:ind w:firstLine="480"/>
        <w:rPr>
          <w:highlight w:val="none"/>
        </w:rPr>
      </w:pPr>
      <w:r>
        <w:rPr>
          <w:rFonts w:hint="eastAsia"/>
          <w:highlight w:val="none"/>
        </w:rPr>
        <w:t>3．掏底时从相对的两侧进行，每次掏空宽度不得超过单块底板的宽度。</w:t>
      </w:r>
    </w:p>
    <w:p>
      <w:pPr>
        <w:ind w:firstLine="480"/>
        <w:rPr>
          <w:highlight w:val="none"/>
        </w:rPr>
      </w:pPr>
      <w:r>
        <w:rPr>
          <w:rFonts w:hint="eastAsia"/>
          <w:highlight w:val="none"/>
        </w:rPr>
        <w:t xml:space="preserve">4、掏底工作人员在操作时，头部和身体不得进入土台下。 </w:t>
      </w:r>
    </w:p>
    <w:p>
      <w:pPr>
        <w:ind w:firstLine="480"/>
        <w:rPr>
          <w:highlight w:val="none"/>
        </w:rPr>
      </w:pPr>
      <w:r>
        <w:rPr>
          <w:rFonts w:hint="eastAsia"/>
          <w:highlight w:val="none"/>
        </w:rPr>
        <w:t xml:space="preserve">5、风力达到 6 级以上时，停止掏底作业。 </w:t>
      </w:r>
    </w:p>
    <w:p>
      <w:pPr>
        <w:ind w:firstLine="480"/>
        <w:rPr>
          <w:highlight w:val="none"/>
        </w:rPr>
      </w:pPr>
      <w:r>
        <w:rPr>
          <w:rFonts w:hint="eastAsia"/>
          <w:highlight w:val="none"/>
        </w:rPr>
        <w:t>6、在进行掏底作业时，地面人员不得在台上走动，站立或放置笨重对象。</w:t>
      </w:r>
    </w:p>
    <w:p>
      <w:pPr>
        <w:ind w:firstLine="480"/>
        <w:rPr>
          <w:highlight w:val="none"/>
        </w:rPr>
      </w:pPr>
      <w:r>
        <w:rPr>
          <w:rFonts w:hint="eastAsia"/>
          <w:highlight w:val="none"/>
        </w:rPr>
        <w:t>7、挖掘、吊装树木使用的工具、绳索、紧固机件、丝扣接头等，与使用前由负责人检查，不能保证安全的，不得使用。</w:t>
      </w:r>
    </w:p>
    <w:p>
      <w:pPr>
        <w:ind w:firstLine="480"/>
        <w:rPr>
          <w:highlight w:val="none"/>
        </w:rPr>
      </w:pPr>
      <w:r>
        <w:rPr>
          <w:rFonts w:hint="eastAsia"/>
          <w:highlight w:val="none"/>
        </w:rPr>
        <w:t xml:space="preserve">8、操作坑周围的地面，不可随意堆放工具、材料，安放稳妥，防止落入坑内伤人。 </w:t>
      </w:r>
    </w:p>
    <w:p>
      <w:pPr>
        <w:ind w:firstLine="480"/>
        <w:rPr>
          <w:highlight w:val="none"/>
        </w:rPr>
      </w:pPr>
      <w:r>
        <w:rPr>
          <w:rFonts w:hint="eastAsia"/>
          <w:highlight w:val="none"/>
        </w:rPr>
        <w:t xml:space="preserve">9、操作人员必须佩戴安全帽、革制手套。 </w:t>
      </w:r>
    </w:p>
    <w:p>
      <w:pPr>
        <w:ind w:firstLine="480"/>
        <w:rPr>
          <w:highlight w:val="none"/>
        </w:rPr>
      </w:pPr>
      <w:r>
        <w:rPr>
          <w:rFonts w:hint="eastAsia"/>
          <w:highlight w:val="none"/>
        </w:rPr>
        <w:t xml:space="preserve">10、吊、卸、入坑栽植前要再检查钢丝绳的质量、规格。接头、卡环是否可靠，符合安全规定。 </w:t>
      </w:r>
    </w:p>
    <w:p>
      <w:pPr>
        <w:ind w:firstLine="480"/>
        <w:rPr>
          <w:highlight w:val="none"/>
        </w:rPr>
      </w:pPr>
      <w:r>
        <w:rPr>
          <w:rFonts w:hint="eastAsia"/>
          <w:highlight w:val="none"/>
        </w:rPr>
        <w:t xml:space="preserve">11、起重机械必须有专人负责指挥，并规定统一的指挥信号，非指定人员不得指挥起重机械或发布信号。 </w:t>
      </w:r>
    </w:p>
    <w:p>
      <w:pPr>
        <w:ind w:firstLine="480"/>
        <w:rPr>
          <w:highlight w:val="none"/>
        </w:rPr>
      </w:pPr>
      <w:r>
        <w:rPr>
          <w:rFonts w:hint="eastAsia"/>
          <w:highlight w:val="none"/>
        </w:rPr>
        <w:t xml:space="preserve">12、装车后，木箱或土球必须用紧线器或绳索与车厢坚固结实后方可运行。 </w:t>
      </w:r>
    </w:p>
    <w:p>
      <w:pPr>
        <w:ind w:firstLine="480"/>
        <w:rPr>
          <w:highlight w:val="none"/>
        </w:rPr>
      </w:pPr>
      <w:r>
        <w:rPr>
          <w:rFonts w:hint="eastAsia"/>
          <w:highlight w:val="none"/>
        </w:rPr>
        <w:t>13、押运人员在车厢上站立于树干两侧，严紧在木箱或土球底部、前面站立。</w:t>
      </w:r>
    </w:p>
    <w:p>
      <w:pPr>
        <w:ind w:firstLine="480"/>
        <w:rPr>
          <w:rFonts w:ascii="宋体" w:hAnsi="宋体" w:cs="宋体"/>
          <w:highlight w:val="none"/>
        </w:rPr>
      </w:pPr>
      <w:r>
        <w:rPr>
          <w:rFonts w:hint="eastAsia" w:ascii="宋体" w:hAnsi="宋体" w:cs="宋体"/>
          <w:highlight w:val="none"/>
        </w:rPr>
        <w:t xml:space="preserve">14、押运人员在车辆运行过程中，随时注意检查绳索和支撑物有无松动。脱落，并及时采取措施认真加固。 </w:t>
      </w:r>
    </w:p>
    <w:p>
      <w:pPr>
        <w:ind w:firstLine="480"/>
        <w:rPr>
          <w:rFonts w:ascii="宋体" w:hAnsi="宋体" w:cs="宋体"/>
          <w:highlight w:val="none"/>
        </w:rPr>
      </w:pPr>
      <w:r>
        <w:rPr>
          <w:rFonts w:hint="eastAsia" w:ascii="宋体" w:hAnsi="宋体" w:cs="宋体"/>
          <w:highlight w:val="none"/>
        </w:rPr>
        <w:t xml:space="preserve">15、押运人员要随车携带挑线竹竿，注意排除影响交通的架空障碍物，并与司机密切配合，注意行驶安全。 </w:t>
      </w:r>
    </w:p>
    <w:p>
      <w:pPr>
        <w:ind w:firstLine="480"/>
        <w:rPr>
          <w:rFonts w:ascii="宋体" w:hAnsi="宋体" w:cs="宋体"/>
          <w:highlight w:val="none"/>
        </w:rPr>
      </w:pPr>
      <w:r>
        <w:rPr>
          <w:rFonts w:hint="eastAsia" w:ascii="宋体" w:hAnsi="宋体" w:cs="宋体"/>
          <w:highlight w:val="none"/>
        </w:rPr>
        <w:t xml:space="preserve">16、装、卸车时，吊杆下，严禁站人。 </w:t>
      </w:r>
    </w:p>
    <w:p>
      <w:pPr>
        <w:ind w:firstLine="480"/>
        <w:rPr>
          <w:rFonts w:ascii="宋体" w:hAnsi="宋体" w:cs="宋体"/>
          <w:highlight w:val="none"/>
        </w:rPr>
      </w:pPr>
      <w:r>
        <w:rPr>
          <w:rFonts w:hint="eastAsia" w:ascii="宋体" w:hAnsi="宋体" w:cs="宋体"/>
          <w:highlight w:val="none"/>
        </w:rPr>
        <w:t xml:space="preserve">17、卸车放置垫木时，头部和手部不得放入苗木土球与垫木之间。 </w:t>
      </w:r>
    </w:p>
    <w:p>
      <w:pPr>
        <w:ind w:firstLine="480"/>
        <w:rPr>
          <w:rFonts w:ascii="宋体" w:hAnsi="宋体" w:cs="宋体"/>
          <w:highlight w:val="none"/>
        </w:rPr>
      </w:pPr>
      <w:r>
        <w:rPr>
          <w:rFonts w:hint="eastAsia" w:ascii="宋体" w:hAnsi="宋体" w:cs="宋体"/>
          <w:highlight w:val="none"/>
        </w:rPr>
        <w:t>18、树木栽植前卸土球保护罩，要及时撤离现场，放置时针并需向下。</w:t>
      </w:r>
    </w:p>
    <w:p>
      <w:pPr>
        <w:ind w:firstLine="480"/>
        <w:rPr>
          <w:rFonts w:ascii="宋体" w:hAnsi="宋体" w:cs="宋体"/>
          <w:highlight w:val="none"/>
        </w:rPr>
      </w:pPr>
      <w:r>
        <w:rPr>
          <w:rFonts w:hint="eastAsia" w:ascii="宋体" w:hAnsi="宋体" w:cs="宋体"/>
          <w:highlight w:val="none"/>
        </w:rPr>
        <w:t xml:space="preserve">19、树木吊放入坑时，树坑内不得站人，如需重新修整树坑，必须将木箱调离树坑，操作人员方能入坑操作。 </w:t>
      </w:r>
    </w:p>
    <w:p>
      <w:pPr>
        <w:pStyle w:val="4"/>
        <w:rPr>
          <w:highlight w:val="none"/>
        </w:rPr>
      </w:pPr>
      <w:bookmarkStart w:id="24" w:name="_Toc15472"/>
      <w:r>
        <w:rPr>
          <w:rFonts w:hint="eastAsia"/>
          <w:highlight w:val="none"/>
        </w:rPr>
        <w:t>三、园林树木修剪时的安全措施</w:t>
      </w:r>
      <w:bookmarkEnd w:id="24"/>
      <w:r>
        <w:rPr>
          <w:rFonts w:hint="eastAsia"/>
          <w:highlight w:val="none"/>
        </w:rPr>
        <w:t xml:space="preserve"> </w:t>
      </w:r>
    </w:p>
    <w:p>
      <w:pPr>
        <w:ind w:firstLine="480"/>
        <w:rPr>
          <w:highlight w:val="none"/>
        </w:rPr>
      </w:pPr>
      <w:r>
        <w:rPr>
          <w:rFonts w:hint="eastAsia"/>
          <w:highlight w:val="none"/>
        </w:rPr>
        <w:t xml:space="preserve">1、操作时思想集中，不许打闹谈笑，上树前不许饮酒。 </w:t>
      </w:r>
    </w:p>
    <w:p>
      <w:pPr>
        <w:ind w:firstLine="480"/>
        <w:rPr>
          <w:highlight w:val="none"/>
        </w:rPr>
      </w:pPr>
      <w:r>
        <w:rPr>
          <w:rFonts w:hint="eastAsia"/>
          <w:highlight w:val="none"/>
        </w:rPr>
        <w:t xml:space="preserve">2、每个作业班组，有实践经验的老工人担任安全质量检查员，负责安全技术指导、质量检查及宣传工作。 </w:t>
      </w:r>
    </w:p>
    <w:p>
      <w:pPr>
        <w:ind w:firstLine="480"/>
        <w:rPr>
          <w:highlight w:val="none"/>
        </w:rPr>
      </w:pPr>
      <w:r>
        <w:rPr>
          <w:rFonts w:hint="eastAsia"/>
          <w:highlight w:val="none"/>
        </w:rPr>
        <w:t xml:space="preserve">3、按规定穿好工作服，带好安全帽，系好安全绳和安全带等。 </w:t>
      </w:r>
    </w:p>
    <w:p>
      <w:pPr>
        <w:ind w:firstLine="480"/>
        <w:rPr>
          <w:highlight w:val="none"/>
        </w:rPr>
      </w:pPr>
      <w:r>
        <w:rPr>
          <w:rFonts w:hint="eastAsia"/>
          <w:highlight w:val="none"/>
        </w:rPr>
        <w:t>4、上树木梯子必须牢固，要立的稳，</w:t>
      </w:r>
    </w:p>
    <w:p>
      <w:pPr>
        <w:ind w:firstLine="480"/>
        <w:rPr>
          <w:highlight w:val="none"/>
        </w:rPr>
      </w:pPr>
      <w:r>
        <w:rPr>
          <w:rFonts w:hint="eastAsia"/>
          <w:highlight w:val="none"/>
        </w:rPr>
        <w:t xml:space="preserve">单面梯将上部横挡与树身捆住，人字梯中腰栓绳，角度开张适当。 </w:t>
      </w:r>
    </w:p>
    <w:p>
      <w:pPr>
        <w:ind w:firstLine="480"/>
        <w:rPr>
          <w:highlight w:val="none"/>
        </w:rPr>
      </w:pPr>
      <w:r>
        <w:rPr>
          <w:rFonts w:hint="eastAsia"/>
          <w:highlight w:val="none"/>
        </w:rPr>
        <w:t xml:space="preserve">5、上树后系好安全绳，手锯绳套拴在手腕上。 </w:t>
      </w:r>
    </w:p>
    <w:p>
      <w:pPr>
        <w:ind w:firstLine="480"/>
        <w:rPr>
          <w:highlight w:val="none"/>
        </w:rPr>
      </w:pPr>
      <w:r>
        <w:rPr>
          <w:rFonts w:hint="eastAsia"/>
          <w:highlight w:val="none"/>
        </w:rPr>
        <w:t xml:space="preserve">6、五级以上大风不可上树。 </w:t>
      </w:r>
    </w:p>
    <w:p>
      <w:pPr>
        <w:ind w:firstLine="480"/>
        <w:rPr>
          <w:highlight w:val="none"/>
        </w:rPr>
      </w:pPr>
      <w:r>
        <w:rPr>
          <w:rFonts w:hint="eastAsia"/>
          <w:highlight w:val="none"/>
        </w:rPr>
        <w:t xml:space="preserve">7、接触大枝要由有经验的老工人指挥操作。 </w:t>
      </w:r>
    </w:p>
    <w:p>
      <w:pPr>
        <w:ind w:firstLine="480"/>
        <w:rPr>
          <w:highlight w:val="none"/>
        </w:rPr>
      </w:pPr>
      <w:r>
        <w:rPr>
          <w:rFonts w:hint="eastAsia"/>
          <w:highlight w:val="none"/>
        </w:rPr>
        <w:t xml:space="preserve">8、公园及路树修剪。要有专人维护现场，树上树下互相配合，防止砸伤行人和过往车辆。 </w:t>
      </w:r>
    </w:p>
    <w:p>
      <w:pPr>
        <w:ind w:firstLine="480"/>
        <w:rPr>
          <w:highlight w:val="none"/>
        </w:rPr>
      </w:pPr>
      <w:r>
        <w:rPr>
          <w:rFonts w:hint="eastAsia"/>
          <w:highlight w:val="none"/>
        </w:rPr>
        <w:t xml:space="preserve">9．有高血压及心脏病者，不准上树。 </w:t>
      </w:r>
    </w:p>
    <w:p>
      <w:pPr>
        <w:ind w:firstLine="480"/>
        <w:rPr>
          <w:highlight w:val="none"/>
        </w:rPr>
      </w:pPr>
      <w:r>
        <w:rPr>
          <w:rFonts w:hint="eastAsia"/>
          <w:highlight w:val="none"/>
        </w:rPr>
        <w:t xml:space="preserve">10、修剪工具要坚固耐用，防止误伤或影响工作。 </w:t>
      </w:r>
    </w:p>
    <w:p>
      <w:pPr>
        <w:ind w:firstLine="480"/>
        <w:rPr>
          <w:highlight w:val="none"/>
        </w:rPr>
      </w:pPr>
      <w:r>
        <w:rPr>
          <w:rFonts w:hint="eastAsia"/>
          <w:highlight w:val="none"/>
        </w:rPr>
        <w:t xml:space="preserve">11、一棵树修完，不准从此树跳到另一棵树上，不许从树上直接跳下地面。 </w:t>
      </w:r>
    </w:p>
    <w:p>
      <w:pPr>
        <w:ind w:firstLine="480"/>
        <w:rPr>
          <w:highlight w:val="none"/>
        </w:rPr>
      </w:pPr>
      <w:r>
        <w:rPr>
          <w:rFonts w:hint="eastAsia"/>
          <w:highlight w:val="none"/>
        </w:rPr>
        <w:t>12、几人同时在一树上修剪，要有专人指挥，注意协作，避免误伤同伴。</w:t>
      </w:r>
    </w:p>
    <w:p>
      <w:pPr>
        <w:ind w:firstLine="480"/>
        <w:rPr>
          <w:highlight w:val="none"/>
        </w:rPr>
      </w:pPr>
      <w:r>
        <w:rPr>
          <w:rFonts w:hint="eastAsia"/>
          <w:highlight w:val="none"/>
        </w:rPr>
        <w:t xml:space="preserve">13、使用高车修剪前，要检查车辆部件，要支放平稳，操作过程中，有专人检查高车状况，有问题及时处理。 </w:t>
      </w:r>
    </w:p>
    <w:p>
      <w:pPr>
        <w:pStyle w:val="4"/>
        <w:rPr>
          <w:highlight w:val="none"/>
        </w:rPr>
      </w:pPr>
      <w:bookmarkStart w:id="25" w:name="_Toc32339"/>
      <w:r>
        <w:rPr>
          <w:rFonts w:hint="eastAsia"/>
          <w:highlight w:val="none"/>
        </w:rPr>
        <w:t>四、施工场地安全文明措施</w:t>
      </w:r>
      <w:bookmarkEnd w:id="25"/>
      <w:r>
        <w:rPr>
          <w:rFonts w:hint="eastAsia"/>
          <w:highlight w:val="none"/>
        </w:rPr>
        <w:t xml:space="preserve"> </w:t>
      </w:r>
    </w:p>
    <w:p>
      <w:pPr>
        <w:ind w:firstLine="480"/>
        <w:rPr>
          <w:highlight w:val="none"/>
        </w:rPr>
      </w:pPr>
      <w:r>
        <w:rPr>
          <w:rFonts w:hint="eastAsia"/>
          <w:highlight w:val="none"/>
        </w:rPr>
        <w:t xml:space="preserve">1、施工现场指定专人定期洒水清扫，防止扬尘及道路尘埃，保证行人空间良好环境。 </w:t>
      </w:r>
    </w:p>
    <w:p>
      <w:pPr>
        <w:ind w:firstLine="480"/>
        <w:rPr>
          <w:highlight w:val="none"/>
        </w:rPr>
      </w:pPr>
      <w:r>
        <w:rPr>
          <w:rFonts w:hint="eastAsia"/>
          <w:highlight w:val="none"/>
        </w:rPr>
        <w:t xml:space="preserve">2、进出现场车辆不带泥沙出施工现场。现场设专人铲土，清扫车轮。 </w:t>
      </w:r>
    </w:p>
    <w:p>
      <w:pPr>
        <w:ind w:firstLine="480"/>
        <w:rPr>
          <w:highlight w:val="none"/>
        </w:rPr>
      </w:pPr>
      <w:r>
        <w:rPr>
          <w:rFonts w:hint="eastAsia"/>
          <w:highlight w:val="none"/>
        </w:rPr>
        <w:t>3、运树木的车辆超出车体部分做好安全警示，车辆行驶不猛拐、不急刹车；</w:t>
      </w:r>
    </w:p>
    <w:p>
      <w:pPr>
        <w:ind w:firstLine="480"/>
        <w:rPr>
          <w:highlight w:val="none"/>
        </w:rPr>
      </w:pPr>
      <w:r>
        <w:rPr>
          <w:rFonts w:hint="eastAsia"/>
          <w:highlight w:val="none"/>
        </w:rPr>
        <w:t xml:space="preserve">4、现场和场外安排人清扫洒水，做到不撒土、不扬尘、减少对周围环境的污染。 </w:t>
      </w:r>
    </w:p>
    <w:p>
      <w:pPr>
        <w:ind w:firstLine="480"/>
        <w:rPr>
          <w:highlight w:val="none"/>
        </w:rPr>
      </w:pPr>
      <w:r>
        <w:rPr>
          <w:rFonts w:hint="eastAsia"/>
          <w:highlight w:val="none"/>
        </w:rPr>
        <w:t xml:space="preserve">5、如有各种遗撒废料，要及时清除，防止对过往车辆及行人的通行安全造成影响。 </w:t>
      </w:r>
    </w:p>
    <w:p>
      <w:pPr>
        <w:ind w:firstLine="480"/>
        <w:rPr>
          <w:highlight w:val="none"/>
        </w:rPr>
        <w:sectPr>
          <w:pgSz w:w="11906" w:h="16838"/>
          <w:pgMar w:top="1417" w:right="1418" w:bottom="1417" w:left="1418" w:header="851" w:footer="992" w:gutter="0"/>
          <w:cols w:space="425" w:num="1"/>
          <w:docGrid w:type="linesAndChars" w:linePitch="312" w:charSpace="0"/>
        </w:sectPr>
      </w:pPr>
      <w:r>
        <w:rPr>
          <w:rFonts w:hint="eastAsia"/>
          <w:highlight w:val="none"/>
        </w:rPr>
        <w:t>6、迁移树木的修剪枝叶及大王椰的枝杆及时清除外运，不在施工场地内长时间堆放。</w:t>
      </w:r>
    </w:p>
    <w:p>
      <w:pPr>
        <w:pStyle w:val="3"/>
        <w:numPr>
          <w:ilvl w:val="0"/>
          <w:numId w:val="1"/>
        </w:numPr>
        <w:spacing w:before="0" w:after="200" w:line="480" w:lineRule="auto"/>
        <w:ind w:firstLine="562"/>
        <w:jc w:val="center"/>
        <w:rPr>
          <w:sz w:val="28"/>
          <w:szCs w:val="28"/>
          <w:highlight w:val="none"/>
        </w:rPr>
      </w:pPr>
      <w:bookmarkStart w:id="26" w:name="_Toc29074"/>
      <w:r>
        <w:rPr>
          <w:rFonts w:hint="eastAsia"/>
          <w:sz w:val="28"/>
          <w:szCs w:val="28"/>
          <w:highlight w:val="none"/>
        </w:rPr>
        <w:t>交通疏导及占道施工方案</w:t>
      </w:r>
      <w:bookmarkEnd w:id="26"/>
    </w:p>
    <w:p>
      <w:pPr>
        <w:pStyle w:val="4"/>
        <w:rPr>
          <w:highlight w:val="none"/>
        </w:rPr>
      </w:pPr>
      <w:bookmarkStart w:id="27" w:name="_Toc30096"/>
      <w:r>
        <w:rPr>
          <w:rFonts w:hint="eastAsia"/>
          <w:highlight w:val="none"/>
        </w:rPr>
        <w:t>一、总体原则</w:t>
      </w:r>
      <w:bookmarkEnd w:id="27"/>
      <w:r>
        <w:rPr>
          <w:rFonts w:hint="eastAsia"/>
          <w:highlight w:val="none"/>
        </w:rPr>
        <w:t xml:space="preserve"> </w:t>
      </w:r>
    </w:p>
    <w:p>
      <w:pPr>
        <w:ind w:firstLine="480"/>
        <w:rPr>
          <w:highlight w:val="none"/>
        </w:rPr>
      </w:pPr>
      <w:r>
        <w:rPr>
          <w:rFonts w:hint="eastAsia"/>
          <w:highlight w:val="none"/>
        </w:rPr>
        <w:t xml:space="preserve">根据本工程特点及工程所在地的实际情况，施工总体部署原则： </w:t>
      </w:r>
    </w:p>
    <w:p>
      <w:pPr>
        <w:ind w:firstLine="480"/>
        <w:rPr>
          <w:highlight w:val="none"/>
        </w:rPr>
      </w:pPr>
      <w:r>
        <w:rPr>
          <w:rFonts w:hint="eastAsia"/>
          <w:highlight w:val="none"/>
        </w:rPr>
        <w:t xml:space="preserve">1、本工程由于工程量大，加上项目地处城区，各施工点的工作面不易展开，因此在实施过程中要做到分项明朗，施工条理清晰，方能有条不紊地完成施工任务。 </w:t>
      </w:r>
    </w:p>
    <w:p>
      <w:pPr>
        <w:ind w:firstLine="480"/>
        <w:rPr>
          <w:highlight w:val="none"/>
        </w:rPr>
      </w:pPr>
      <w:r>
        <w:rPr>
          <w:rFonts w:hint="eastAsia"/>
          <w:highlight w:val="none"/>
        </w:rPr>
        <w:t xml:space="preserve">2、根据本项目的特点和地处情况，工期要求和施工条件，该路段总的组织原则，采取平行交叉流水作业法，最大限度发挥已投入资源的施工效率。 </w:t>
      </w:r>
    </w:p>
    <w:p>
      <w:pPr>
        <w:pStyle w:val="4"/>
        <w:rPr>
          <w:highlight w:val="none"/>
        </w:rPr>
      </w:pPr>
      <w:bookmarkStart w:id="28" w:name="_Toc30487"/>
      <w:r>
        <w:rPr>
          <w:rFonts w:hint="eastAsia"/>
          <w:highlight w:val="none"/>
        </w:rPr>
        <w:t>二、交通组织</w:t>
      </w:r>
      <w:bookmarkEnd w:id="28"/>
      <w:r>
        <w:rPr>
          <w:rFonts w:hint="eastAsia"/>
          <w:highlight w:val="none"/>
        </w:rPr>
        <w:t xml:space="preserve"> </w:t>
      </w:r>
    </w:p>
    <w:p>
      <w:pPr>
        <w:ind w:firstLine="480"/>
        <w:rPr>
          <w:highlight w:val="none"/>
        </w:rPr>
      </w:pPr>
      <w:r>
        <w:rPr>
          <w:rFonts w:hint="eastAsia"/>
          <w:highlight w:val="none"/>
        </w:rPr>
        <w:t>1、交通疏导主要思路</w:t>
      </w:r>
    </w:p>
    <w:p>
      <w:pPr>
        <w:ind w:firstLine="480"/>
        <w:rPr>
          <w:highlight w:val="none"/>
        </w:rPr>
      </w:pPr>
      <w:r>
        <w:rPr>
          <w:rFonts w:hint="eastAsia"/>
          <w:highlight w:val="none"/>
        </w:rPr>
        <w:t>1.保持交通能力</w:t>
      </w:r>
    </w:p>
    <w:p>
      <w:pPr>
        <w:ind w:firstLine="480"/>
        <w:rPr>
          <w:highlight w:val="none"/>
        </w:rPr>
      </w:pPr>
      <w:r>
        <w:rPr>
          <w:rFonts w:hint="eastAsia"/>
          <w:highlight w:val="none"/>
        </w:rPr>
        <w:t xml:space="preserve">施工期间不能大幅降低现有交通能力。采用交通引导、就近绕行的方式缓解现有交通压力。 </w:t>
      </w:r>
    </w:p>
    <w:p>
      <w:pPr>
        <w:ind w:firstLine="480"/>
        <w:rPr>
          <w:highlight w:val="none"/>
        </w:rPr>
      </w:pPr>
      <w:r>
        <w:rPr>
          <w:rFonts w:hint="eastAsia"/>
          <w:highlight w:val="none"/>
        </w:rPr>
        <w:t xml:space="preserve">2.自然分流与管制分流相结合的原则通过广告宣传和交通管制，做到科学合理的分流车辆，施工路段前后有关交叉路口要设置明显的交通指示牌，引导车辆行驶，调节各线路交通量；施工路段禁止随意停车，以保证车辆顺畅行驶。 </w:t>
      </w:r>
    </w:p>
    <w:p>
      <w:pPr>
        <w:ind w:firstLine="480"/>
        <w:rPr>
          <w:highlight w:val="none"/>
        </w:rPr>
      </w:pPr>
      <w:r>
        <w:rPr>
          <w:rFonts w:hint="eastAsia"/>
          <w:highlight w:val="none"/>
        </w:rPr>
        <w:t>3.交通大于施工的原则</w:t>
      </w:r>
    </w:p>
    <w:p>
      <w:pPr>
        <w:ind w:firstLine="480"/>
        <w:rPr>
          <w:highlight w:val="none"/>
        </w:rPr>
      </w:pPr>
      <w:r>
        <w:rPr>
          <w:rFonts w:hint="eastAsia"/>
          <w:highlight w:val="none"/>
        </w:rPr>
        <w:t xml:space="preserve">工程开工前，积极主动与交警及邻近各相关单位联系,相互支持,积极配合,制定切实可行的总体交通组织方案,通过有关门批准后，先试行一段时间，经检验切实可行后再正式实施，以确保交通安全顺畅。 </w:t>
      </w:r>
    </w:p>
    <w:p>
      <w:pPr>
        <w:ind w:firstLine="480"/>
        <w:rPr>
          <w:highlight w:val="none"/>
        </w:rPr>
      </w:pPr>
      <w:r>
        <w:rPr>
          <w:rFonts w:hint="eastAsia"/>
          <w:highlight w:val="none"/>
        </w:rPr>
        <w:t xml:space="preserve">4.每一段围蔽施工时，计划安排两个交通疏导员在道路两端位置疏导施工区域外交通，确保过往车辆及行人出行安全。 </w:t>
      </w:r>
    </w:p>
    <w:p>
      <w:pPr>
        <w:ind w:firstLine="480"/>
        <w:rPr>
          <w:highlight w:val="none"/>
        </w:rPr>
      </w:pPr>
      <w:r>
        <w:rPr>
          <w:rFonts w:hint="eastAsia"/>
          <w:highlight w:val="none"/>
        </w:rPr>
        <w:t xml:space="preserve">2、施工围蔽及占道施工方案 </w:t>
      </w:r>
    </w:p>
    <w:p>
      <w:pPr>
        <w:ind w:firstLine="480"/>
        <w:rPr>
          <w:highlight w:val="none"/>
        </w:rPr>
      </w:pPr>
      <w:r>
        <w:rPr>
          <w:rFonts w:hint="eastAsia"/>
          <w:highlight w:val="none"/>
        </w:rPr>
        <w:t>1.本项目施工区域较为分散，围蔽区域较为分散，围蔽区域及范围应在保证机械操作空间充足的前提下根据现场实际情况进行确定。</w:t>
      </w:r>
    </w:p>
    <w:p>
      <w:pPr>
        <w:ind w:firstLine="480"/>
        <w:rPr>
          <w:highlight w:val="none"/>
        </w:rPr>
      </w:pPr>
      <w:r>
        <w:rPr>
          <w:rFonts w:hint="eastAsia"/>
          <w:highlight w:val="none"/>
        </w:rPr>
        <w:t>2.本项目施工采取分段围蔽施工的方式，根据现场实际情况以保证交通为前提进行围蔽施工，施工完后拆除围蔽进行下一段围蔽施工。占道施工每次施工为流水作业：流水作业单次长度为200m。</w:t>
      </w:r>
    </w:p>
    <w:p>
      <w:pPr>
        <w:ind w:firstLine="480"/>
        <w:rPr>
          <w:highlight w:val="none"/>
        </w:rPr>
      </w:pPr>
      <w:r>
        <w:rPr>
          <w:rFonts w:hint="eastAsia"/>
          <w:highlight w:val="none"/>
        </w:rPr>
        <w:t xml:space="preserve">3.在施工过程中安排两名交通疏导协管员在围蔽的两端佩戴反光衣，值勤袖章，手拿红旗指挥交通协助交警进行疏导。 </w:t>
      </w:r>
    </w:p>
    <w:p>
      <w:pPr>
        <w:ind w:firstLine="480"/>
        <w:rPr>
          <w:highlight w:val="none"/>
        </w:rPr>
      </w:pPr>
      <w:r>
        <w:rPr>
          <w:rFonts w:hint="eastAsia"/>
          <w:highlight w:val="none"/>
        </w:rPr>
        <w:t xml:space="preserve">4.在围蔽的两端安装安全标语、标牌，提醒车辆等减速慢行。 </w:t>
      </w:r>
    </w:p>
    <w:p>
      <w:pPr>
        <w:ind w:firstLine="480"/>
        <w:rPr>
          <w:highlight w:val="none"/>
        </w:rPr>
      </w:pPr>
      <w:r>
        <w:rPr>
          <w:rFonts w:hint="eastAsia"/>
          <w:highlight w:val="none"/>
        </w:rPr>
        <w:t xml:space="preserve">5.在围蔽的两端张贴施工告示，告知广大市民及游客的施工内容以及工期，在围蔽的两端各安装一个爆闪灯，提醒过往的行人及车辆。 </w:t>
      </w:r>
    </w:p>
    <w:p>
      <w:pPr>
        <w:ind w:firstLine="480"/>
        <w:rPr>
          <w:highlight w:val="none"/>
        </w:rPr>
      </w:pPr>
      <w:r>
        <w:rPr>
          <w:rFonts w:hint="eastAsia"/>
          <w:highlight w:val="none"/>
        </w:rPr>
        <w:t xml:space="preserve">6.设置临时交通引导标志和禁令在路口设置相应的引导性交通标志牌；在施工路段设置相应的禁令交通标志牌。我单位在施工路段设置相应的交通标志，交通标志包括施工标志牌、公路施工标志牌、前方施工标志牌、交通管制标志牌、封闭提示标志牌等，该标志牌及其需用的标志牌向交警指定或提示的地点购买，并按照交警规定的时间和地点设置。 </w:t>
      </w:r>
    </w:p>
    <w:p>
      <w:pPr>
        <w:ind w:firstLine="480"/>
        <w:rPr>
          <w:highlight w:val="none"/>
        </w:rPr>
      </w:pPr>
      <w:r>
        <w:rPr>
          <w:rFonts w:hint="eastAsia"/>
          <w:highlight w:val="none"/>
        </w:rPr>
        <w:t>3、施工注意事项</w:t>
      </w:r>
    </w:p>
    <w:p>
      <w:pPr>
        <w:ind w:firstLine="480"/>
        <w:rPr>
          <w:highlight w:val="none"/>
        </w:rPr>
      </w:pPr>
      <w:r>
        <w:rPr>
          <w:rFonts w:hint="eastAsia"/>
          <w:highlight w:val="none"/>
        </w:rPr>
        <w:t xml:space="preserve">1.施工单位应依据实际情况对施工区域内的围蔽分段分幅进行，禁止大面积全封闭施工。 </w:t>
      </w:r>
    </w:p>
    <w:p>
      <w:pPr>
        <w:ind w:firstLine="480"/>
        <w:rPr>
          <w:highlight w:val="none"/>
        </w:rPr>
      </w:pPr>
      <w:r>
        <w:rPr>
          <w:rFonts w:hint="eastAsia"/>
          <w:highlight w:val="none"/>
        </w:rPr>
        <w:t xml:space="preserve">2.夜间施工时需做好防护措施，如反光贴、警示灯等。 </w:t>
      </w:r>
    </w:p>
    <w:p>
      <w:pPr>
        <w:ind w:firstLine="480"/>
        <w:rPr>
          <w:highlight w:val="none"/>
        </w:rPr>
      </w:pPr>
      <w:r>
        <w:rPr>
          <w:rFonts w:hint="eastAsia"/>
          <w:highlight w:val="none"/>
        </w:rPr>
        <w:t xml:space="preserve">3.向传媒通告本项目的施工疏解情况，让广大驾驶员了解施工区域的交通组织。 </w:t>
      </w:r>
    </w:p>
    <w:p>
      <w:pPr>
        <w:ind w:firstLine="480"/>
        <w:rPr>
          <w:highlight w:val="none"/>
        </w:rPr>
      </w:pPr>
      <w:r>
        <w:rPr>
          <w:rFonts w:hint="eastAsia"/>
          <w:highlight w:val="none"/>
        </w:rPr>
        <w:t xml:space="preserve">4.施工围蔽措施必须严格按照佛山市安全文明施工规定执行。 </w:t>
      </w:r>
    </w:p>
    <w:p>
      <w:pPr>
        <w:ind w:firstLine="480"/>
        <w:rPr>
          <w:highlight w:val="none"/>
        </w:rPr>
      </w:pPr>
      <w:r>
        <w:rPr>
          <w:rFonts w:hint="eastAsia"/>
          <w:highlight w:val="none"/>
        </w:rPr>
        <w:t xml:space="preserve">5.本工程施工范围内的各个交通要点、人行横道线，施工单位需派出交通协管员上下班高峰期协助辖区交警维持交通秩序。 </w:t>
      </w:r>
    </w:p>
    <w:p>
      <w:pPr>
        <w:ind w:firstLine="480"/>
        <w:rPr>
          <w:highlight w:val="none"/>
        </w:rPr>
      </w:pPr>
      <w:r>
        <w:rPr>
          <w:rFonts w:hint="eastAsia"/>
          <w:highlight w:val="none"/>
        </w:rPr>
        <w:t>6.本工程施工范围内如出现车行通道、人行道出现破损、积水及会影响行人、车辆通行能力等情况，施工单位必须及时对其进行抢修。</w:t>
      </w:r>
    </w:p>
    <w:p>
      <w:pPr>
        <w:ind w:firstLine="480"/>
        <w:rPr>
          <w:highlight w:val="none"/>
        </w:rPr>
      </w:pPr>
      <w:r>
        <w:rPr>
          <w:rFonts w:hint="eastAsia"/>
          <w:highlight w:val="none"/>
        </w:rPr>
        <w:t xml:space="preserve">7.本交通组织设计中的各类临时交通实施必须在辖区交警部门指导下安装，并且安装的位置不能影响现状道路各功种设施的使用。 </w:t>
      </w:r>
    </w:p>
    <w:p>
      <w:pPr>
        <w:ind w:firstLine="480"/>
        <w:rPr>
          <w:highlight w:val="none"/>
        </w:rPr>
      </w:pPr>
      <w:r>
        <w:rPr>
          <w:rFonts w:hint="eastAsia"/>
          <w:highlight w:val="none"/>
        </w:rPr>
        <w:t xml:space="preserve">8.施工单位所采用的任何施工方法都应不影响交通通行能力为前提，并注意施工高度的要求。在施工期间施工单位应该有计划、有步骤地分阶段进行围蔽施工，并应该根据施工进度的情况相应减少围蔽的范围，尽早还路于民。 </w:t>
      </w:r>
    </w:p>
    <w:p>
      <w:pPr>
        <w:ind w:firstLine="480"/>
        <w:rPr>
          <w:highlight w:val="none"/>
        </w:rPr>
      </w:pPr>
      <w:r>
        <w:rPr>
          <w:rFonts w:hint="eastAsia"/>
          <w:highlight w:val="none"/>
        </w:rPr>
        <w:t>9.施工围蔽区域须合理设置进出口。一般进出口日间封闭，在征得辖区交警大队同意之下，夜间施工车辆可以在规定的时段、按规定的行驶路线进出。应急开口主要为应对突发交通事件而设置，一般不得开启，以免影响交通。</w:t>
      </w:r>
    </w:p>
    <w:p>
      <w:pPr>
        <w:pStyle w:val="4"/>
        <w:rPr>
          <w:highlight w:val="none"/>
        </w:rPr>
      </w:pPr>
      <w:bookmarkStart w:id="29" w:name="_Toc5613"/>
      <w:r>
        <w:rPr>
          <w:rFonts w:hint="eastAsia"/>
          <w:highlight w:val="none"/>
        </w:rPr>
        <w:t>三、交通疏导安全措施</w:t>
      </w:r>
      <w:bookmarkEnd w:id="29"/>
      <w:r>
        <w:rPr>
          <w:rFonts w:hint="eastAsia"/>
          <w:highlight w:val="none"/>
        </w:rPr>
        <w:t xml:space="preserve"> </w:t>
      </w:r>
    </w:p>
    <w:p>
      <w:pPr>
        <w:ind w:firstLine="480"/>
        <w:rPr>
          <w:highlight w:val="none"/>
        </w:rPr>
      </w:pPr>
      <w:r>
        <w:rPr>
          <w:rFonts w:hint="eastAsia"/>
          <w:highlight w:val="none"/>
        </w:rPr>
        <w:t xml:space="preserve">（一）管理措施 </w:t>
      </w:r>
    </w:p>
    <w:p>
      <w:pPr>
        <w:ind w:firstLine="480"/>
        <w:rPr>
          <w:highlight w:val="none"/>
        </w:rPr>
      </w:pPr>
      <w:r>
        <w:rPr>
          <w:rFonts w:hint="eastAsia"/>
          <w:highlight w:val="none"/>
        </w:rPr>
        <w:t xml:space="preserve">1、成立交通协调管理小组 </w:t>
      </w:r>
    </w:p>
    <w:p>
      <w:pPr>
        <w:ind w:firstLine="480"/>
        <w:rPr>
          <w:highlight w:val="none"/>
        </w:rPr>
      </w:pPr>
      <w:r>
        <w:rPr>
          <w:rFonts w:hint="eastAsia"/>
          <w:highlight w:val="none"/>
        </w:rPr>
        <w:t xml:space="preserve">为使交通组织方案全面落实、责任到人，成立相应的交通协调管理小组。交通协调管理小组由交警大队、建设单位和施工单位共同组成。交通协调管理小组和职责，主要是负责工程施工期间的交通组织管理，审查及批准交通组织方案，协调有关单位、人员之间的关系，检查处理有关交通组织问题等。 </w:t>
      </w:r>
    </w:p>
    <w:p>
      <w:pPr>
        <w:ind w:firstLine="480"/>
        <w:rPr>
          <w:highlight w:val="none"/>
        </w:rPr>
      </w:pPr>
      <w:r>
        <w:rPr>
          <w:rFonts w:hint="eastAsia"/>
          <w:highlight w:val="none"/>
        </w:rPr>
        <w:t>制定安全疏导小组值班表，小组负责人要检查值班人员按时到岗上班情况，不得早退。其他组员保持通讯畅通联系，根据交通流量情况，随时调整增减疏导管理人员数量，以预防各种拥堵及应急事件出现。</w:t>
      </w:r>
    </w:p>
    <w:p>
      <w:pPr>
        <w:ind w:firstLine="480"/>
        <w:rPr>
          <w:highlight w:val="none"/>
        </w:rPr>
      </w:pPr>
      <w:r>
        <w:rPr>
          <w:rFonts w:hint="eastAsia"/>
          <w:highlight w:val="none"/>
        </w:rPr>
        <w:t xml:space="preserve">指挥交通疏导人员要经过专门培训，对不服从者做到不急不躁、 耐心解释。 </w:t>
      </w:r>
    </w:p>
    <w:p>
      <w:pPr>
        <w:ind w:firstLine="480"/>
        <w:rPr>
          <w:highlight w:val="none"/>
        </w:rPr>
      </w:pPr>
      <w:r>
        <w:rPr>
          <w:rFonts w:hint="eastAsia"/>
          <w:highlight w:val="none"/>
        </w:rPr>
        <w:t xml:space="preserve">2、安排交通协管员 </w:t>
      </w:r>
    </w:p>
    <w:p>
      <w:pPr>
        <w:ind w:firstLine="480"/>
        <w:rPr>
          <w:highlight w:val="none"/>
        </w:rPr>
      </w:pPr>
      <w:r>
        <w:rPr>
          <w:rFonts w:hint="eastAsia"/>
          <w:highlight w:val="none"/>
        </w:rPr>
        <w:t>本施工标段安排 2 人担任交通协管员。协管员应着反光衣，佩带值勤袖章，手拿红旗。其主要职责是对违章作业，影响交通安全的行为进行监督和制止；听从交警指挥，配合交管部门做好交通安全维护等工作。</w:t>
      </w:r>
    </w:p>
    <w:p>
      <w:pPr>
        <w:ind w:firstLine="480"/>
        <w:rPr>
          <w:highlight w:val="none"/>
        </w:rPr>
      </w:pPr>
      <w:r>
        <w:rPr>
          <w:rFonts w:hint="eastAsia"/>
          <w:highlight w:val="none"/>
        </w:rPr>
        <w:t xml:space="preserve">1.用电措施 </w:t>
      </w:r>
    </w:p>
    <w:p>
      <w:pPr>
        <w:ind w:firstLine="480"/>
        <w:rPr>
          <w:highlight w:val="none"/>
        </w:rPr>
      </w:pPr>
      <w:r>
        <w:rPr>
          <w:rFonts w:hint="eastAsia"/>
          <w:highlight w:val="none"/>
        </w:rPr>
        <w:t xml:space="preserve">配电箱的电缆线应有套管，电线进出不混乱，电箱上进线加滴水弯；支线绝缘完好，无老化、破损或漏电现象；电线架设使用，使用高度符合要求。 </w:t>
      </w:r>
    </w:p>
    <w:p>
      <w:pPr>
        <w:ind w:firstLine="480"/>
        <w:rPr>
          <w:highlight w:val="none"/>
        </w:rPr>
      </w:pPr>
      <w:r>
        <w:rPr>
          <w:rFonts w:hint="eastAsia"/>
          <w:highlight w:val="none"/>
        </w:rPr>
        <w:t xml:space="preserve">2.施工机械管理 </w:t>
      </w:r>
    </w:p>
    <w:p>
      <w:pPr>
        <w:ind w:firstLine="480"/>
        <w:rPr>
          <w:highlight w:val="none"/>
        </w:rPr>
      </w:pPr>
      <w:r>
        <w:rPr>
          <w:rFonts w:hint="eastAsia"/>
          <w:highlight w:val="none"/>
        </w:rPr>
        <w:t>项目部对工地所有机械统一进行安全检查，特别是车辆制动装置，发现问题及时解决，消除不安全因素。</w:t>
      </w:r>
    </w:p>
    <w:p>
      <w:pPr>
        <w:ind w:firstLine="480"/>
        <w:rPr>
          <w:highlight w:val="none"/>
        </w:rPr>
      </w:pPr>
      <w:r>
        <w:rPr>
          <w:rFonts w:hint="eastAsia"/>
          <w:highlight w:val="none"/>
        </w:rPr>
        <w:t>各种机械设备均要制定安全技术操作规程，并认真检查落实情况，机械施工作业，与行人要保持一定的纵向、横向安全距离。</w:t>
      </w:r>
    </w:p>
    <w:p>
      <w:pPr>
        <w:ind w:firstLine="480"/>
        <w:rPr>
          <w:highlight w:val="none"/>
        </w:rPr>
      </w:pPr>
      <w:r>
        <w:rPr>
          <w:rFonts w:hint="eastAsia"/>
          <w:highlight w:val="none"/>
        </w:rPr>
        <w:t>机械操作人员必须听从施工人员的正确指挥，精心操作。但对施工人员违反操作规程和可能引起危险事故的指挥，操作人员有权拒绝执行，并及时向项目经理反映。机械作业空间狭小，应停止作业。</w:t>
      </w:r>
    </w:p>
    <w:p>
      <w:pPr>
        <w:ind w:firstLine="480"/>
        <w:rPr>
          <w:highlight w:val="none"/>
        </w:rPr>
      </w:pPr>
      <w:r>
        <w:rPr>
          <w:rFonts w:hint="eastAsia"/>
          <w:highlight w:val="none"/>
        </w:rPr>
        <w:t xml:space="preserve">3.施工废料外运 </w:t>
      </w:r>
    </w:p>
    <w:p>
      <w:pPr>
        <w:ind w:firstLine="480"/>
        <w:rPr>
          <w:highlight w:val="none"/>
        </w:rPr>
        <w:sectPr>
          <w:pgSz w:w="11906" w:h="16838"/>
          <w:pgMar w:top="1417" w:right="1418" w:bottom="1417" w:left="1418" w:header="851" w:footer="992" w:gutter="0"/>
          <w:cols w:space="425" w:num="1"/>
          <w:docGrid w:type="linesAndChars" w:linePitch="312" w:charSpace="0"/>
        </w:sectPr>
      </w:pPr>
      <w:r>
        <w:rPr>
          <w:rFonts w:hint="eastAsia"/>
          <w:highlight w:val="none"/>
        </w:rPr>
        <w:t>施工现场的修剪树枝树叶、垃圾渣土要及时清理出现场，严禁随意乱抛乱丢，保证行车和行人顺利通行。</w:t>
      </w:r>
    </w:p>
    <w:p>
      <w:pPr>
        <w:pStyle w:val="3"/>
        <w:numPr>
          <w:ilvl w:val="0"/>
          <w:numId w:val="1"/>
        </w:numPr>
        <w:spacing w:before="0" w:after="200" w:line="480" w:lineRule="auto"/>
        <w:ind w:firstLine="562"/>
        <w:jc w:val="center"/>
        <w:rPr>
          <w:sz w:val="28"/>
          <w:szCs w:val="28"/>
          <w:highlight w:val="none"/>
        </w:rPr>
      </w:pPr>
      <w:bookmarkStart w:id="30" w:name="_Toc11102"/>
      <w:r>
        <w:rPr>
          <w:rFonts w:hint="eastAsia"/>
          <w:sz w:val="28"/>
          <w:szCs w:val="28"/>
          <w:highlight w:val="none"/>
        </w:rPr>
        <w:t>树木养护方案</w:t>
      </w:r>
      <w:bookmarkEnd w:id="30"/>
    </w:p>
    <w:p>
      <w:pPr>
        <w:ind w:firstLine="480"/>
        <w:rPr>
          <w:highlight w:val="none"/>
        </w:rPr>
      </w:pPr>
      <w:r>
        <w:rPr>
          <w:rFonts w:hint="eastAsia"/>
          <w:highlight w:val="none"/>
        </w:rPr>
        <w:t>要保证树木移栽的成活率，新植树木的养护管理显得尤其重要。尤其是移植后的第1年管理更为重要，主要工作是喷浇水、排水、树干包扎、保湿防冻、搭棚遮荫、剥芽除嫩梢、病虫防治等。</w:t>
      </w:r>
    </w:p>
    <w:p>
      <w:pPr>
        <w:pStyle w:val="4"/>
        <w:rPr>
          <w:highlight w:val="none"/>
        </w:rPr>
      </w:pPr>
      <w:bookmarkStart w:id="31" w:name="_Toc16542"/>
      <w:r>
        <w:rPr>
          <w:rFonts w:hint="eastAsia"/>
          <w:highlight w:val="none"/>
        </w:rPr>
        <w:t>一、保持树体水分代谢平衡</w:t>
      </w:r>
      <w:bookmarkEnd w:id="31"/>
      <w:r>
        <w:rPr>
          <w:rFonts w:hint="eastAsia"/>
          <w:highlight w:val="none"/>
        </w:rPr>
        <w:t xml:space="preserve"> </w:t>
      </w:r>
    </w:p>
    <w:p>
      <w:pPr>
        <w:ind w:firstLine="480"/>
        <w:rPr>
          <w:highlight w:val="none"/>
        </w:rPr>
      </w:pPr>
      <w:r>
        <w:rPr>
          <w:rFonts w:hint="eastAsia"/>
          <w:highlight w:val="none"/>
        </w:rPr>
        <w:t xml:space="preserve">在移植过程中，树木根系会受到较大的损伤，吸水能力大大降低。树体常常因供水不足，水分代谢失去平衡而枯萎，甚至死亡。因此，保持树体水分代谢平衡是新植树木养护管理、提高移植成活率的关键。 </w:t>
      </w:r>
    </w:p>
    <w:p>
      <w:pPr>
        <w:ind w:firstLine="480"/>
        <w:rPr>
          <w:highlight w:val="none"/>
        </w:rPr>
      </w:pPr>
      <w:r>
        <w:rPr>
          <w:rFonts w:hint="eastAsia"/>
          <w:highlight w:val="none"/>
        </w:rPr>
        <w:t xml:space="preserve">1、浇水：栽植后立即浇一次透水，待2～3天后,浇第二次水，过一周后浇第三次水，以后应视土壤墒情浇水可适当拉长时间,每次浇水都要做到"干透浇透",表土干后要及时进行中耕。除正常浇水外， </w:t>
      </w:r>
    </w:p>
    <w:p>
      <w:pPr>
        <w:ind w:firstLine="480"/>
        <w:rPr>
          <w:highlight w:val="none"/>
        </w:rPr>
      </w:pPr>
      <w:r>
        <w:rPr>
          <w:rFonts w:hint="eastAsia"/>
          <w:highlight w:val="none"/>
        </w:rPr>
        <w:t>在夏季高温季节还应经常向树体缠绕的草绳或保湿垫喷水，一般每天要浇4～5次水，早晚各喷水1次，中午高温前后2～3次，每次喷水，以喷湿不滴水不流水为度，以免造成根部积水,影响根系的呼吸和生长，使根部土壤保持湿润状态既可。</w:t>
      </w:r>
    </w:p>
    <w:p>
      <w:pPr>
        <w:ind w:firstLine="480"/>
        <w:rPr>
          <w:highlight w:val="none"/>
        </w:rPr>
      </w:pPr>
      <w:r>
        <w:rPr>
          <w:rFonts w:hint="eastAsia"/>
          <w:highlight w:val="none"/>
        </w:rPr>
        <w:t>2、捆扎保湿：移植后的树木树根系的吸水能力会大大降低，若供水不足就会因水分代谢失去平衡而枯萎甚至死亡，因此保持植物体内水分代谢平衡是新移植树木养护管理、提高移植成活率的关键。可以采取包干的方法保持树木供水。用草绳、蒲包、苔藓等材料严密包裹树干，也可以采用喷水的方式维持栽植环境的湿度。对水石榕、红千层、盆架子、尖叶杜英等树皮呈青色或皮孔较多的树种以及常绿树种，将主干和近主干的一级主枝部分用草绳或保湿垫缠绕，减少水分蒸发,同时也可预防干体日灼和冬天防冻，但所缠的草绳不能过紧和过密，以免影响皮孔呼吸导致树皮槽朽，待第二年秋季可将草绳解除。</w:t>
      </w:r>
    </w:p>
    <w:p>
      <w:pPr>
        <w:ind w:firstLine="480"/>
        <w:rPr>
          <w:highlight w:val="none"/>
        </w:rPr>
      </w:pPr>
      <w:r>
        <w:rPr>
          <w:rFonts w:hint="eastAsia"/>
          <w:highlight w:val="none"/>
        </w:rPr>
        <w:t>3、喷水：树体地上部分(特别是叶面)因蒸腾作用而易失水，必须及时喷水保湿。喷水要求细而均匀，喷及树上各个部位和周围空间、地面，为树体提供湿润的小气候环境。炎热的夏季，为避免树木在暴晒中洒水对苗木皮层组织造成影响，从而影响苗木成活，所以必须控制好苗木的喷水的开始时间及持续时间，上午的开始时间尽量保证在9 点前，而下午的开始时间尽量保证在17点后。</w:t>
      </w:r>
    </w:p>
    <w:p>
      <w:pPr>
        <w:pStyle w:val="4"/>
        <w:rPr>
          <w:highlight w:val="none"/>
        </w:rPr>
      </w:pPr>
      <w:bookmarkStart w:id="32" w:name="_Toc15826"/>
      <w:r>
        <w:rPr>
          <w:rFonts w:hint="eastAsia"/>
          <w:highlight w:val="none"/>
        </w:rPr>
        <w:t>二、促发新根</w:t>
      </w:r>
      <w:bookmarkEnd w:id="32"/>
      <w:r>
        <w:rPr>
          <w:rFonts w:hint="eastAsia"/>
          <w:highlight w:val="none"/>
        </w:rPr>
        <w:t xml:space="preserve"> </w:t>
      </w:r>
    </w:p>
    <w:p>
      <w:pPr>
        <w:ind w:firstLine="480"/>
        <w:rPr>
          <w:highlight w:val="none"/>
        </w:rPr>
      </w:pPr>
      <w:r>
        <w:rPr>
          <w:rFonts w:hint="eastAsia"/>
          <w:highlight w:val="none"/>
        </w:rPr>
        <w:t>新移植树木，根系吸水功能减弱，对土壤水分需求量较小。因此，只要保持土壤适当湿润即可。土壤含水量过大，反而会影响土壤的透气性能，抑制根系的呼吸，对发根不利，严重的会导致烂根死亡。严格控制土壤浇水量。移植时第一次浇透水，以后应视天气情况、土壤质地，检查分析，谨慎浇水。同时要慎防喷水时过多水滴进入根系区域。</w:t>
      </w:r>
    </w:p>
    <w:p>
      <w:pPr>
        <w:ind w:firstLine="480"/>
        <w:rPr>
          <w:rFonts w:ascii="新宋体" w:hAnsi="新宋体" w:eastAsia="新宋体" w:cs="新宋体"/>
          <w:color w:val="000000"/>
          <w:kern w:val="0"/>
          <w:sz w:val="28"/>
          <w:szCs w:val="28"/>
          <w:highlight w:val="none"/>
        </w:rPr>
      </w:pPr>
      <w:r>
        <w:rPr>
          <w:rFonts w:hint="eastAsia"/>
          <w:highlight w:val="none"/>
        </w:rPr>
        <w:t>要防止树池积水。种植时留下的浇水穴，在第一次浇透水后即应填平或略高于周围地面，以防下雨或浇水时积水。同时，在地势低洼易积水处，要设置排水沟，保证雨天能及时排水。</w:t>
      </w:r>
    </w:p>
    <w:p>
      <w:pPr>
        <w:pStyle w:val="4"/>
        <w:rPr>
          <w:highlight w:val="none"/>
        </w:rPr>
      </w:pPr>
      <w:bookmarkStart w:id="33" w:name="_Toc5704"/>
      <w:r>
        <w:rPr>
          <w:rFonts w:hint="eastAsia"/>
          <w:highlight w:val="none"/>
        </w:rPr>
        <w:t>三、保护新芽</w:t>
      </w:r>
      <w:bookmarkEnd w:id="33"/>
    </w:p>
    <w:p>
      <w:pPr>
        <w:ind w:firstLine="480"/>
        <w:rPr>
          <w:highlight w:val="none"/>
        </w:rPr>
      </w:pPr>
      <w:r>
        <w:rPr>
          <w:rFonts w:hint="eastAsia"/>
          <w:highlight w:val="none"/>
        </w:rPr>
        <w:t xml:space="preserve">新芽萌发，是新植树木进行生理活动的标志，是树木成活的希望。更重要的是，树体地上部分的萌发，对根系具有自然而有效的刺激作用，能促进根系的萌发。因此，在移植初期，特别是移植时进行重修剪的树体所萌发的芽要加以保护，让其抽枝发叶，待树体成活后再行修剪整形。同时，在树体萌芽后，要特别加强喷水、遮荫、防病治虫等养护工作，保证嫩芽与嫩梢的正常生长。 </w:t>
      </w:r>
    </w:p>
    <w:p>
      <w:pPr>
        <w:pStyle w:val="4"/>
        <w:rPr>
          <w:highlight w:val="none"/>
        </w:rPr>
      </w:pPr>
      <w:bookmarkStart w:id="34" w:name="_Toc18404"/>
      <w:r>
        <w:rPr>
          <w:rFonts w:hint="eastAsia"/>
          <w:highlight w:val="none"/>
        </w:rPr>
        <w:t>四、树体保护</w:t>
      </w:r>
      <w:bookmarkEnd w:id="34"/>
      <w:r>
        <w:rPr>
          <w:rFonts w:hint="eastAsia"/>
          <w:highlight w:val="none"/>
        </w:rPr>
        <w:t xml:space="preserve"> </w:t>
      </w:r>
    </w:p>
    <w:p>
      <w:pPr>
        <w:ind w:firstLine="480"/>
        <w:rPr>
          <w:highlight w:val="none"/>
        </w:rPr>
      </w:pPr>
      <w:r>
        <w:rPr>
          <w:rFonts w:hint="eastAsia"/>
          <w:highlight w:val="none"/>
        </w:rPr>
        <w:t>新移植树木，抗性减弱，易受自然灾害、病虫害、人为或其它鸟类危害，必须严加防范。</w:t>
      </w:r>
    </w:p>
    <w:p>
      <w:pPr>
        <w:ind w:firstLine="480"/>
        <w:rPr>
          <w:highlight w:val="none"/>
        </w:rPr>
      </w:pPr>
      <w:r>
        <w:rPr>
          <w:rFonts w:hint="eastAsia"/>
          <w:highlight w:val="none"/>
        </w:rPr>
        <w:t xml:space="preserve">支撑：树大招风，树木种植后应即支撑固定，慎防倾倒。正三角桩最利于树体稳定，支撑点以树体高 2/3 处左右为好，并用布条或麻布片绑在树干上作为保护层，以防支撑物晃动时伤害树皮。 </w:t>
      </w:r>
    </w:p>
    <w:p>
      <w:pPr>
        <w:pStyle w:val="4"/>
        <w:rPr>
          <w:highlight w:val="none"/>
        </w:rPr>
      </w:pPr>
      <w:bookmarkStart w:id="35" w:name="_Toc16521"/>
      <w:r>
        <w:rPr>
          <w:rFonts w:hint="eastAsia"/>
          <w:highlight w:val="none"/>
        </w:rPr>
        <w:t>五、防病治虫</w:t>
      </w:r>
      <w:bookmarkEnd w:id="35"/>
      <w:r>
        <w:rPr>
          <w:rFonts w:hint="eastAsia"/>
          <w:highlight w:val="none"/>
        </w:rPr>
        <w:t xml:space="preserve"> </w:t>
      </w:r>
    </w:p>
    <w:p>
      <w:pPr>
        <w:ind w:firstLine="480"/>
        <w:rPr>
          <w:highlight w:val="none"/>
        </w:rPr>
      </w:pPr>
      <w:r>
        <w:rPr>
          <w:rFonts w:hint="eastAsia"/>
          <w:highlight w:val="none"/>
        </w:rPr>
        <w:t xml:space="preserve">坚持以防为主，根据树种特性和病虫害发生发展规律，勤检查，做好防范工作。一旦发生病情，要对症下药，及时防治。 </w:t>
      </w:r>
    </w:p>
    <w:p>
      <w:pPr>
        <w:ind w:firstLine="480"/>
        <w:rPr>
          <w:highlight w:val="none"/>
        </w:rPr>
      </w:pPr>
      <w:r>
        <w:rPr>
          <w:rFonts w:hint="eastAsia"/>
          <w:highlight w:val="none"/>
        </w:rPr>
        <w:t xml:space="preserve">水石榕常见有叶斑病和黑霉病危害，选用70%代森锰锌可湿性粉剂 400～600倍液或 50%多菌灵可湿性粉剂600～1000倍液喷洒防治。常见虫害有介壳虫、红蜘蛛、蓟马危害，可用40%的氧化乐果乳剂100倍液或用40%三氯杀蜻醇乳剂1000～1500倍液喷杀。蓟马隐藏于虫瘿内，防除有一定困难，必须抓住施药适期，在榕树抽梢期、尚未形成虫瘿前喷施5%蚜虱净乳油1500倍液或50%马拉硫磷乳油1000倍液，隔5～7天喷1次，连续喷2～3次；己大量形成虫瘿时，可用40%氧乐果乳油1000倍液灌根或根施15%涕灭威颗粒剂。 </w:t>
      </w:r>
    </w:p>
    <w:p>
      <w:pPr>
        <w:pStyle w:val="4"/>
        <w:rPr>
          <w:highlight w:val="none"/>
        </w:rPr>
      </w:pPr>
      <w:bookmarkStart w:id="36" w:name="_Toc13023"/>
      <w:r>
        <w:rPr>
          <w:rFonts w:hint="eastAsia"/>
          <w:highlight w:val="none"/>
        </w:rPr>
        <w:t>六、施肥</w:t>
      </w:r>
      <w:bookmarkEnd w:id="36"/>
    </w:p>
    <w:p>
      <w:pPr>
        <w:ind w:firstLine="480"/>
        <w:rPr>
          <w:sz w:val="28"/>
          <w:szCs w:val="28"/>
          <w:highlight w:val="none"/>
        </w:rPr>
      </w:pPr>
      <w:r>
        <w:rPr>
          <w:rFonts w:hint="eastAsia"/>
          <w:highlight w:val="none"/>
        </w:rPr>
        <w:t xml:space="preserve">施肥有利于恢复树势。树木移植初期，根系吸肥力低，宜采用根外追肥。用尿素、硫酸铵、磷酸二氢钾等速效性肥料配制成浓度为0、5~1％的肥液，选早晚或阴天进行叶面喷洒，遇降雨应重喷一次。根系萌发后，可进行土壤施肥，要求薄肥勤施，慎防伤根。夏季与秋季是植物生长旺盛期，要每个月施肥一次。到了冬季，刚要减少施肥，甚至可以暂停施入秋后，要控制氮肥，增施磷、钾肥，并逐步延长光照时间，提高光照强度，以提高树体的木质化程度，提高自身抗寒能力；另一方面，在入冬寒潮来临之前，做好树体保温工作。小叶榄仁在每年春、夏季各施有机肥一次。 </w:t>
      </w:r>
    </w:p>
    <w:p>
      <w:pPr>
        <w:pStyle w:val="3"/>
        <w:numPr>
          <w:ilvl w:val="0"/>
          <w:numId w:val="1"/>
        </w:numPr>
        <w:spacing w:before="0" w:after="200" w:line="480" w:lineRule="auto"/>
        <w:ind w:firstLine="562"/>
        <w:rPr>
          <w:sz w:val="28"/>
          <w:szCs w:val="28"/>
          <w:highlight w:val="none"/>
        </w:rPr>
        <w:sectPr>
          <w:pgSz w:w="11906" w:h="16838"/>
          <w:pgMar w:top="1417" w:right="1418" w:bottom="1417" w:left="1418" w:header="851" w:footer="992" w:gutter="0"/>
          <w:cols w:space="425" w:num="1"/>
          <w:docGrid w:type="linesAndChars" w:linePitch="312" w:charSpace="0"/>
        </w:sectPr>
      </w:pPr>
    </w:p>
    <w:p>
      <w:pPr>
        <w:pStyle w:val="3"/>
        <w:numPr>
          <w:ilvl w:val="0"/>
          <w:numId w:val="1"/>
        </w:numPr>
        <w:spacing w:before="0" w:after="200" w:line="480" w:lineRule="auto"/>
        <w:ind w:firstLine="562"/>
        <w:jc w:val="center"/>
        <w:rPr>
          <w:sz w:val="28"/>
          <w:szCs w:val="28"/>
          <w:highlight w:val="none"/>
        </w:rPr>
      </w:pPr>
      <w:bookmarkStart w:id="37" w:name="_Toc31070"/>
      <w:r>
        <w:rPr>
          <w:rFonts w:hint="eastAsia"/>
          <w:sz w:val="28"/>
          <w:szCs w:val="28"/>
          <w:highlight w:val="none"/>
        </w:rPr>
        <w:t>路灯方案</w:t>
      </w:r>
      <w:bookmarkEnd w:id="37"/>
    </w:p>
    <w:p>
      <w:pPr>
        <w:ind w:firstLine="480"/>
        <w:rPr>
          <w:highlight w:val="none"/>
        </w:rPr>
      </w:pPr>
      <w:r>
        <w:rPr>
          <w:rFonts w:hint="eastAsia"/>
          <w:highlight w:val="none"/>
        </w:rPr>
        <w:t>路灯使用情况现状：经过现场实际踏勘与核查，发现绿道上本次需迁移的94盏，普通路灯92盏，高柱路灯2盏。拆除后的路灯进行整理，转运至路灯管理所指定场地进行移交，最后由路灯管理所进行保存。</w:t>
      </w:r>
    </w:p>
    <w:p>
      <w:pPr>
        <w:pStyle w:val="4"/>
        <w:rPr>
          <w:highlight w:val="none"/>
        </w:rPr>
      </w:pPr>
      <w:bookmarkStart w:id="38" w:name="_Toc16751"/>
      <w:r>
        <w:rPr>
          <w:rFonts w:hint="eastAsia"/>
          <w:highlight w:val="none"/>
        </w:rPr>
        <w:t>一、施工准备</w:t>
      </w:r>
      <w:bookmarkEnd w:id="38"/>
    </w:p>
    <w:p>
      <w:pPr>
        <w:ind w:firstLine="480"/>
        <w:rPr>
          <w:highlight w:val="none"/>
        </w:rPr>
      </w:pPr>
      <w:r>
        <w:rPr>
          <w:rFonts w:hint="eastAsia"/>
          <w:highlight w:val="none"/>
        </w:rPr>
        <w:t>施工前，准备好拆除工具及路灯包装材料（如扳手、绝缘钳、套筒等工具等），做好施工个人防护（绝缘手套、反光衣等），详细了解对施工范围内地线管线布置，与相关管理部门沟通，对拆除路灯段进行断电，确保拆除路灯时处于断电状态，以及拆除后的路灯堆放场地。对施工区域进行围蔽，确保施工安全。</w:t>
      </w:r>
    </w:p>
    <w:p>
      <w:pPr>
        <w:pStyle w:val="4"/>
        <w:rPr>
          <w:highlight w:val="none"/>
        </w:rPr>
      </w:pPr>
      <w:bookmarkStart w:id="39" w:name="_Toc28868"/>
      <w:bookmarkStart w:id="40" w:name="_Toc2411"/>
      <w:r>
        <w:rPr>
          <w:rFonts w:hint="eastAsia"/>
          <w:highlight w:val="none"/>
        </w:rPr>
        <w:t>二、路灯拆除</w:t>
      </w:r>
      <w:bookmarkEnd w:id="39"/>
      <w:bookmarkEnd w:id="40"/>
    </w:p>
    <w:p>
      <w:pPr>
        <w:ind w:firstLine="480"/>
        <w:rPr>
          <w:highlight w:val="none"/>
        </w:rPr>
      </w:pPr>
      <w:r>
        <w:rPr>
          <w:rFonts w:hint="eastAsia"/>
          <w:highlight w:val="none"/>
        </w:rPr>
        <w:t>本次拆除路灯为除2盏6m高外，其余均3、3m高，重量轻，将采用人力方式拆除，作业人员开始拆除灯杆固定螺栓螺帽，螺帽拆除时，灯杆两边要安排人员扶住灯杆，以防灯杆倒侧，作业人员采用绝缘钢丝钳将路灯电源线从灯杆接线口拆除。然后缓慢下放将灯杆放倒于工程围挡施工范围内。路灯拆除过程中，要慢、稳，避免对灯杆灯具造成擦伤、摔坏、掉漆等损坏。</w:t>
      </w:r>
    </w:p>
    <w:p>
      <w:pPr>
        <w:pStyle w:val="4"/>
        <w:rPr>
          <w:highlight w:val="none"/>
        </w:rPr>
      </w:pPr>
      <w:bookmarkStart w:id="41" w:name="_Toc12766"/>
      <w:bookmarkStart w:id="42" w:name="_Toc7644"/>
      <w:r>
        <w:rPr>
          <w:rFonts w:hint="eastAsia"/>
          <w:highlight w:val="none"/>
        </w:rPr>
        <w:t>三、整理包装</w:t>
      </w:r>
      <w:bookmarkEnd w:id="41"/>
      <w:bookmarkEnd w:id="42"/>
    </w:p>
    <w:p>
      <w:pPr>
        <w:ind w:firstLine="480"/>
        <w:rPr>
          <w:highlight w:val="none"/>
        </w:rPr>
      </w:pPr>
      <w:r>
        <w:rPr>
          <w:rFonts w:hint="eastAsia"/>
          <w:highlight w:val="none"/>
        </w:rPr>
        <w:t>路灯拆除后，现场将灯具、灯泡拆除，放入预先准备好的包装纸箱中，妥善保管，以防损坏。</w:t>
      </w:r>
    </w:p>
    <w:p>
      <w:pPr>
        <w:pStyle w:val="4"/>
        <w:rPr>
          <w:highlight w:val="none"/>
        </w:rPr>
      </w:pPr>
      <w:bookmarkStart w:id="43" w:name="_Toc29835"/>
      <w:bookmarkStart w:id="44" w:name="_Toc31437"/>
      <w:r>
        <w:rPr>
          <w:rFonts w:hint="eastAsia"/>
          <w:highlight w:val="none"/>
        </w:rPr>
        <w:t>四、移交</w:t>
      </w:r>
      <w:bookmarkEnd w:id="43"/>
      <w:bookmarkEnd w:id="44"/>
    </w:p>
    <w:p>
      <w:pPr>
        <w:ind w:firstLine="480"/>
        <w:rPr>
          <w:highlight w:val="none"/>
        </w:rPr>
      </w:pPr>
      <w:r>
        <w:rPr>
          <w:rFonts w:hint="eastAsia"/>
          <w:highlight w:val="none"/>
        </w:rPr>
        <w:t>路灯包装整理结束后进行装车，灯杆采用人力装车，装车前须将车厢底部铺一层稻草或者垫方木条，避免灯杆与车厢底部直接接触，造成在运输过程中灯杆与车厢摩擦，对灯杆产生掉漆等破坏。如果一次运输数量较多，分几层装车，每层灯杆之间也必须垫方木条。装车后要用绳索将所有车上灯杆固牢，以免在运输过程中灯杆摆动或者坠落。灯杆运至相关部门指定仓库进行堆放。堆放底部垫三组方木条，将灯杆放于方木条之上，避免灯杆与地面直接接触造成生锈。堆放时应平稳、固牢，以免坍塌造成灯杆损坏和安全隐患。与监理及相关单位接受人员对移交的路灯数量核对，做好交付登记。</w:t>
      </w:r>
    </w:p>
    <w:p>
      <w:pPr>
        <w:pStyle w:val="4"/>
        <w:rPr>
          <w:highlight w:val="none"/>
        </w:rPr>
      </w:pPr>
      <w:bookmarkStart w:id="45" w:name="_Toc26854"/>
      <w:bookmarkStart w:id="46" w:name="_Toc28155"/>
      <w:r>
        <w:rPr>
          <w:rFonts w:hint="eastAsia"/>
          <w:highlight w:val="none"/>
        </w:rPr>
        <w:t>五、灯具、灯杆保护措施</w:t>
      </w:r>
      <w:bookmarkEnd w:id="45"/>
      <w:bookmarkEnd w:id="46"/>
    </w:p>
    <w:p>
      <w:pPr>
        <w:ind w:firstLine="480"/>
        <w:rPr>
          <w:highlight w:val="none"/>
        </w:rPr>
      </w:pPr>
      <w:r>
        <w:rPr>
          <w:rFonts w:hint="eastAsia"/>
          <w:highlight w:val="none"/>
        </w:rPr>
        <w:t>1、路灯拆除过程中，要慢、稳，避免对灯杆灯具造成擦伤、摔坏、掉漆等不必要损伤。</w:t>
      </w:r>
    </w:p>
    <w:p>
      <w:pPr>
        <w:ind w:firstLine="480"/>
        <w:rPr>
          <w:highlight w:val="none"/>
        </w:rPr>
      </w:pPr>
      <w:r>
        <w:rPr>
          <w:rFonts w:hint="eastAsia"/>
          <w:highlight w:val="none"/>
        </w:rPr>
        <w:t>2、灯杆放倒后，现场将灯具、灯泡拆除后放入预先准备好的包装纸箱中，以防损坏。</w:t>
      </w:r>
    </w:p>
    <w:p>
      <w:pPr>
        <w:ind w:firstLine="480"/>
        <w:rPr>
          <w:highlight w:val="none"/>
        </w:rPr>
      </w:pPr>
      <w:r>
        <w:rPr>
          <w:rFonts w:hint="eastAsia"/>
          <w:highlight w:val="none"/>
        </w:rPr>
        <w:t>3、灯杆采用人力装车，装车前须将车厢底部铺一层稻草或者垫方木条，避免灯杆与车厢底部直接接触，造成在运输过程中灯杆与车厢摩擦，对灯杆产生掉漆等破坏。如果一次运输数量较多，分几层装车，每层灯杆之间也必须垫方木条。装车后要用绳索将所有车上灯杆固牢，以免在运输过程中灯杆摆动或者坠落。</w:t>
      </w:r>
    </w:p>
    <w:p>
      <w:pPr>
        <w:ind w:firstLine="480"/>
        <w:rPr>
          <w:highlight w:val="none"/>
        </w:rPr>
      </w:pPr>
      <w:r>
        <w:rPr>
          <w:rFonts w:hint="eastAsia"/>
          <w:highlight w:val="none"/>
        </w:rPr>
        <w:t>4、灯杆运至市政指定场地堆放。堆放底部垫三组方木条，将灯杆放于方木条之上，避免灯杆与地面直接接触造成生锈。全部堆放完成后，用绳索将灯杆全部固牢，以免坍塌造成灯杆损坏和安全隐患。如露天堆放则需用防雨雨布将灯杆全部覆盖，防止雨季雨水对灯杆的侵蚀。</w:t>
      </w:r>
    </w:p>
    <w:p>
      <w:pPr>
        <w:pStyle w:val="17"/>
        <w:ind w:firstLine="240"/>
        <w:rPr>
          <w:highlight w:val="none"/>
        </w:rPr>
      </w:pPr>
      <w:r>
        <w:rPr>
          <w:highlight w:val="none"/>
        </w:rPr>
        <w:br w:type="page"/>
      </w:r>
    </w:p>
    <w:p>
      <w:pPr>
        <w:pStyle w:val="3"/>
        <w:numPr>
          <w:ilvl w:val="0"/>
          <w:numId w:val="1"/>
        </w:numPr>
        <w:spacing w:before="0" w:after="200" w:line="480" w:lineRule="auto"/>
        <w:ind w:firstLine="562"/>
        <w:jc w:val="center"/>
        <w:rPr>
          <w:sz w:val="28"/>
          <w:szCs w:val="28"/>
          <w:highlight w:val="none"/>
        </w:rPr>
      </w:pPr>
      <w:bookmarkStart w:id="47" w:name="_Toc17739"/>
      <w:r>
        <w:rPr>
          <w:rFonts w:hint="eastAsia"/>
          <w:sz w:val="28"/>
          <w:szCs w:val="28"/>
          <w:highlight w:val="none"/>
        </w:rPr>
        <w:t>安全应急预案及措施</w:t>
      </w:r>
      <w:bookmarkEnd w:id="47"/>
    </w:p>
    <w:p>
      <w:pPr>
        <w:pStyle w:val="4"/>
        <w:rPr>
          <w:highlight w:val="none"/>
        </w:rPr>
      </w:pPr>
      <w:bookmarkStart w:id="48" w:name="_Toc23470"/>
      <w:r>
        <w:rPr>
          <w:rFonts w:hint="eastAsia"/>
          <w:highlight w:val="none"/>
        </w:rPr>
        <w:t>一、应急救援指挥机构</w:t>
      </w:r>
      <w:bookmarkEnd w:id="48"/>
    </w:p>
    <w:p>
      <w:pPr>
        <w:ind w:firstLine="480"/>
        <w:rPr>
          <w:highlight w:val="none"/>
        </w:rPr>
      </w:pPr>
      <w:r>
        <w:rPr>
          <w:rFonts w:hint="eastAsia"/>
          <w:highlight w:val="none"/>
        </w:rPr>
        <w:t>1、为确保应急救援快速有效，成立项目经理部应急领导小组，在应急救援过程中由该领导小组统一组织、指挥协调工程防洪抢险工作。项目经理和项目书记任组长，项目副经理，安全总监为副组长，安环部、工程部、机务部、综合部等人员为组员组成。</w:t>
      </w:r>
    </w:p>
    <w:p>
      <w:pPr>
        <w:ind w:firstLine="480"/>
        <w:rPr>
          <w:highlight w:val="none"/>
        </w:rPr>
      </w:pPr>
      <w:r>
        <w:rPr>
          <w:rFonts w:hint="eastAsia"/>
          <w:highlight w:val="none"/>
        </w:rPr>
        <w:t>组</w:t>
      </w:r>
      <w:r>
        <w:rPr>
          <w:highlight w:val="none"/>
        </w:rPr>
        <w:t xml:space="preserve"> </w:t>
      </w:r>
      <w:r>
        <w:rPr>
          <w:rFonts w:hint="eastAsia"/>
          <w:highlight w:val="none"/>
          <w:lang w:val="en-US" w:eastAsia="zh-CN"/>
        </w:rPr>
        <w:t xml:space="preserve"> </w:t>
      </w:r>
      <w:r>
        <w:rPr>
          <w:highlight w:val="none"/>
        </w:rPr>
        <w:t>长：</w:t>
      </w:r>
      <w:r>
        <w:rPr>
          <w:rFonts w:hint="eastAsia"/>
          <w:highlight w:val="none"/>
        </w:rPr>
        <w:t>陈明华</w:t>
      </w:r>
    </w:p>
    <w:p>
      <w:pPr>
        <w:ind w:firstLine="480"/>
        <w:rPr>
          <w:highlight w:val="none"/>
        </w:rPr>
      </w:pPr>
      <w:r>
        <w:rPr>
          <w:rFonts w:hint="eastAsia"/>
          <w:highlight w:val="none"/>
        </w:rPr>
        <w:t>副组长：金永东</w:t>
      </w:r>
      <w:r>
        <w:rPr>
          <w:highlight w:val="none"/>
        </w:rPr>
        <w:t>、朱恩德</w:t>
      </w:r>
      <w:r>
        <w:rPr>
          <w:rFonts w:hint="eastAsia"/>
          <w:highlight w:val="none"/>
        </w:rPr>
        <w:t>、张建成</w:t>
      </w:r>
    </w:p>
    <w:p>
      <w:pPr>
        <w:ind w:firstLine="480"/>
        <w:rPr>
          <w:highlight w:val="none"/>
        </w:rPr>
      </w:pPr>
      <w:r>
        <w:rPr>
          <w:rFonts w:hint="eastAsia"/>
          <w:highlight w:val="none"/>
        </w:rPr>
        <w:t>成</w:t>
      </w:r>
      <w:r>
        <w:rPr>
          <w:highlight w:val="none"/>
        </w:rPr>
        <w:t xml:space="preserve"> </w:t>
      </w:r>
      <w:r>
        <w:rPr>
          <w:rFonts w:hint="eastAsia"/>
          <w:highlight w:val="none"/>
          <w:lang w:val="en-US" w:eastAsia="zh-CN"/>
        </w:rPr>
        <w:t xml:space="preserve"> </w:t>
      </w:r>
      <w:r>
        <w:rPr>
          <w:highlight w:val="none"/>
        </w:rPr>
        <w:t>员：</w:t>
      </w:r>
      <w:r>
        <w:rPr>
          <w:rFonts w:hint="eastAsia"/>
          <w:highlight w:val="none"/>
        </w:rPr>
        <w:t>黄阳焕、钟雨、陈汉斌、郑学文、全明超、梁有斌、毕晓倩</w:t>
      </w:r>
    </w:p>
    <w:p>
      <w:pPr>
        <w:ind w:firstLine="480"/>
        <w:rPr>
          <w:highlight w:val="none"/>
        </w:rPr>
      </w:pPr>
      <w:r>
        <w:rPr>
          <w:rFonts w:hint="eastAsia"/>
          <w:highlight w:val="none"/>
        </w:rPr>
        <w:t>2、应急救援机构人员职责</w:t>
      </w:r>
    </w:p>
    <w:p>
      <w:pPr>
        <w:ind w:firstLine="480"/>
        <w:rPr>
          <w:highlight w:val="none"/>
        </w:rPr>
      </w:pPr>
      <w:r>
        <w:rPr>
          <w:rFonts w:hint="eastAsia"/>
          <w:highlight w:val="none"/>
        </w:rPr>
        <w:t>项目部应急指挥领导小组，担任本项目部应急预案指挥职能，职责主要包括：</w:t>
      </w:r>
    </w:p>
    <w:p>
      <w:pPr>
        <w:ind w:firstLine="480"/>
        <w:rPr>
          <w:highlight w:val="none"/>
        </w:rPr>
      </w:pPr>
      <w:r>
        <w:rPr>
          <w:rFonts w:hint="eastAsia"/>
          <w:highlight w:val="none"/>
        </w:rPr>
        <w:t>1.总指挥负责应急救援的全面工作；副总指挥协助指挥负责应急救援的具体指挥总指挥不在或授权时，副总指挥行使总指挥的权力；</w:t>
      </w:r>
    </w:p>
    <w:p>
      <w:pPr>
        <w:ind w:firstLine="480"/>
        <w:rPr>
          <w:highlight w:val="none"/>
        </w:rPr>
      </w:pPr>
      <w:r>
        <w:rPr>
          <w:rFonts w:hint="eastAsia"/>
          <w:highlight w:val="none"/>
        </w:rPr>
        <w:t>2.建立预警及应急救援机构，组建应急救援队伍；</w:t>
      </w:r>
    </w:p>
    <w:p>
      <w:pPr>
        <w:ind w:firstLine="480"/>
        <w:rPr>
          <w:highlight w:val="none"/>
        </w:rPr>
      </w:pPr>
      <w:r>
        <w:rPr>
          <w:rFonts w:hint="eastAsia"/>
          <w:highlight w:val="none"/>
        </w:rPr>
        <w:t>3.应急救援指挥部根据总指挥、副总指挥的指令，负责发布预警或应急救援指令，组织实施具体的救援活动，并向上级和政府等相关主管部门报告情况；</w:t>
      </w:r>
    </w:p>
    <w:p>
      <w:pPr>
        <w:ind w:firstLine="480"/>
        <w:rPr>
          <w:highlight w:val="none"/>
        </w:rPr>
      </w:pPr>
      <w:r>
        <w:rPr>
          <w:rFonts w:hint="eastAsia"/>
          <w:highlight w:val="none"/>
        </w:rPr>
        <w:t>4.统一协调各职能部门完成本职工作；</w:t>
      </w:r>
    </w:p>
    <w:p>
      <w:pPr>
        <w:ind w:firstLine="480"/>
        <w:rPr>
          <w:highlight w:val="none"/>
        </w:rPr>
      </w:pPr>
      <w:r>
        <w:rPr>
          <w:rFonts w:hint="eastAsia"/>
          <w:highlight w:val="none"/>
        </w:rPr>
        <w:t>5.根据指挥、副指挥的指令，宣布解除应急救援命令；</w:t>
      </w:r>
    </w:p>
    <w:p>
      <w:pPr>
        <w:ind w:firstLine="480"/>
        <w:rPr>
          <w:highlight w:val="none"/>
        </w:rPr>
      </w:pPr>
      <w:r>
        <w:rPr>
          <w:rFonts w:hint="eastAsia"/>
          <w:highlight w:val="none"/>
        </w:rPr>
        <w:t>6.检查应急救援措施的准备情况、督促落实；</w:t>
      </w:r>
    </w:p>
    <w:p>
      <w:pPr>
        <w:ind w:firstLine="480"/>
        <w:rPr>
          <w:highlight w:val="none"/>
        </w:rPr>
      </w:pPr>
      <w:r>
        <w:rPr>
          <w:rFonts w:hint="eastAsia"/>
          <w:highlight w:val="none"/>
        </w:rPr>
        <w:t>7.组织善后工作并开展事故调查总结应急救援经验教训；</w:t>
      </w:r>
    </w:p>
    <w:p>
      <w:pPr>
        <w:ind w:firstLine="480"/>
        <w:rPr>
          <w:highlight w:val="none"/>
        </w:rPr>
      </w:pPr>
      <w:r>
        <w:rPr>
          <w:rFonts w:hint="eastAsia"/>
          <w:highlight w:val="none"/>
        </w:rPr>
        <w:t>8、应急通讯</w:t>
      </w:r>
    </w:p>
    <w:p>
      <w:pPr>
        <w:ind w:firstLine="480"/>
        <w:rPr>
          <w:highlight w:val="none"/>
        </w:rPr>
      </w:pPr>
      <w:bookmarkStart w:id="49" w:name="_Toc23267"/>
      <w:bookmarkStart w:id="50" w:name="_Toc15666"/>
      <w:bookmarkStart w:id="51" w:name="_Toc25632"/>
      <w:r>
        <w:rPr>
          <w:rFonts w:hint="eastAsia"/>
          <w:highlight w:val="none"/>
        </w:rPr>
        <w:t>外部应急救援联系电话</w:t>
      </w:r>
      <w:bookmarkEnd w:id="49"/>
      <w:bookmarkEnd w:id="50"/>
      <w:bookmarkEnd w:id="51"/>
    </w:p>
    <w:tbl>
      <w:tblPr>
        <w:tblStyle w:val="19"/>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5607"/>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bookmarkStart w:id="52" w:name="_Hlk58164043"/>
            <w:r>
              <w:rPr>
                <w:rFonts w:hint="eastAsia" w:eastAsia="宋体"/>
                <w:sz w:val="24"/>
                <w:highlight w:val="none"/>
              </w:rPr>
              <w:t>序号</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单    位</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1</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报警</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2</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火警</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3</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急救</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4</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道路救援</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5</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广东省安委办</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12350</w:t>
            </w:r>
          </w:p>
          <w:p>
            <w:pPr>
              <w:pStyle w:val="11"/>
              <w:ind w:firstLine="0" w:firstLineChars="0"/>
              <w:jc w:val="center"/>
              <w:rPr>
                <w:rFonts w:eastAsia="宋体"/>
                <w:sz w:val="24"/>
                <w:highlight w:val="none"/>
              </w:rPr>
            </w:pPr>
            <w:r>
              <w:rPr>
                <w:rFonts w:hint="eastAsia" w:eastAsia="宋体"/>
                <w:sz w:val="24"/>
                <w:highlight w:val="none"/>
              </w:rPr>
              <w:t>020-83160888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6</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湛江市应急管理局</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0759-2813999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7</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廉江市城南派出所</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8</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廉江市公安消防大队</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0759-6612128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9</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廉江市人民医院</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0759-6618700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10</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湛江市生态环境局廉江分局</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0759-6683328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11</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廉江市应急管理局</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0759-6688537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12</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廉江市气象局</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0759-6692108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8" w:type="dxa"/>
            <w:shd w:val="clear" w:color="auto" w:fill="auto"/>
          </w:tcPr>
          <w:p>
            <w:pPr>
              <w:pStyle w:val="11"/>
              <w:ind w:firstLine="0" w:firstLineChars="0"/>
              <w:jc w:val="center"/>
              <w:rPr>
                <w:rFonts w:eastAsia="宋体"/>
                <w:sz w:val="24"/>
                <w:highlight w:val="none"/>
              </w:rPr>
            </w:pPr>
            <w:r>
              <w:rPr>
                <w:rFonts w:hint="eastAsia" w:eastAsia="宋体"/>
                <w:sz w:val="24"/>
                <w:highlight w:val="none"/>
              </w:rPr>
              <w:t>13</w:t>
            </w:r>
          </w:p>
        </w:tc>
        <w:tc>
          <w:tcPr>
            <w:tcW w:w="5607" w:type="dxa"/>
            <w:shd w:val="clear" w:color="auto" w:fill="auto"/>
          </w:tcPr>
          <w:p>
            <w:pPr>
              <w:pStyle w:val="11"/>
              <w:ind w:firstLine="0" w:firstLineChars="0"/>
              <w:jc w:val="center"/>
              <w:rPr>
                <w:rFonts w:eastAsia="宋体"/>
                <w:sz w:val="24"/>
                <w:highlight w:val="none"/>
              </w:rPr>
            </w:pPr>
            <w:r>
              <w:rPr>
                <w:rFonts w:hint="eastAsia" w:eastAsia="宋体"/>
                <w:sz w:val="24"/>
                <w:highlight w:val="none"/>
              </w:rPr>
              <w:t>廉江市公安局交警大队</w:t>
            </w:r>
          </w:p>
        </w:tc>
        <w:tc>
          <w:tcPr>
            <w:tcW w:w="2243" w:type="dxa"/>
            <w:shd w:val="clear" w:color="auto" w:fill="auto"/>
          </w:tcPr>
          <w:p>
            <w:pPr>
              <w:pStyle w:val="11"/>
              <w:ind w:firstLine="0" w:firstLineChars="0"/>
              <w:jc w:val="center"/>
              <w:rPr>
                <w:rFonts w:eastAsia="宋体"/>
                <w:sz w:val="24"/>
                <w:highlight w:val="none"/>
              </w:rPr>
            </w:pPr>
            <w:r>
              <w:rPr>
                <w:rFonts w:hint="eastAsia" w:eastAsia="宋体"/>
                <w:sz w:val="24"/>
                <w:highlight w:val="none"/>
              </w:rPr>
              <w:t>0759-6623232</w:t>
            </w:r>
          </w:p>
        </w:tc>
      </w:tr>
      <w:bookmarkEnd w:id="52"/>
    </w:tbl>
    <w:p>
      <w:pPr>
        <w:pStyle w:val="4"/>
        <w:rPr>
          <w:highlight w:val="none"/>
        </w:rPr>
      </w:pPr>
      <w:bookmarkStart w:id="53" w:name="_Toc19970"/>
      <w:bookmarkStart w:id="54" w:name="_Toc75269950"/>
      <w:bookmarkStart w:id="55" w:name="_Toc73866374"/>
      <w:bookmarkStart w:id="56" w:name="_Toc12548"/>
      <w:r>
        <w:rPr>
          <w:rFonts w:hint="eastAsia"/>
          <w:highlight w:val="none"/>
        </w:rPr>
        <w:t>二、应急处置措施</w:t>
      </w:r>
      <w:bookmarkEnd w:id="53"/>
      <w:bookmarkEnd w:id="54"/>
    </w:p>
    <w:p>
      <w:pPr>
        <w:ind w:firstLine="480"/>
        <w:rPr>
          <w:highlight w:val="none"/>
        </w:rPr>
      </w:pPr>
      <w:r>
        <w:rPr>
          <w:rFonts w:hint="eastAsia"/>
          <w:highlight w:val="none"/>
        </w:rPr>
        <w:t>1、触电</w:t>
      </w:r>
      <w:r>
        <w:rPr>
          <w:highlight w:val="none"/>
        </w:rPr>
        <w:t>事故现场急救</w:t>
      </w:r>
    </w:p>
    <w:p>
      <w:pPr>
        <w:ind w:firstLine="480"/>
        <w:rPr>
          <w:highlight w:val="none"/>
        </w:rPr>
      </w:pPr>
      <w:r>
        <w:rPr>
          <w:rFonts w:hint="eastAsia"/>
          <w:highlight w:val="none"/>
        </w:rPr>
        <w:t>1.事故第一发现人应当机立断地尽可能地立即切断电源（关闭电路），也可用现场得到的绝缘材料等器材使触电人员脱离带电体，并大声呼救，报告责任人（或现场相关管理人员）。</w:t>
      </w:r>
    </w:p>
    <w:p>
      <w:pPr>
        <w:ind w:firstLine="480"/>
        <w:rPr>
          <w:highlight w:val="none"/>
        </w:rPr>
      </w:pPr>
      <w:r>
        <w:rPr>
          <w:rFonts w:hint="eastAsia"/>
          <w:highlight w:val="none"/>
        </w:rPr>
        <w:t>2.将伤员立即脱离危险地方，仰卧在平地或平板上进行简单诊断，应急小组人员抢救。</w:t>
      </w:r>
    </w:p>
    <w:p>
      <w:pPr>
        <w:ind w:firstLine="480"/>
        <w:rPr>
          <w:highlight w:val="none"/>
        </w:rPr>
      </w:pPr>
      <w:r>
        <w:rPr>
          <w:rFonts w:hint="eastAsia"/>
          <w:highlight w:val="none"/>
        </w:rPr>
        <w:t>3.若发现触电者“有心跳无呼吸”或“有呼吸无心跳”或“呼吸心跳均停止”，立即分别进行“口对口（鼻）人工呼吸”、“体外心脏挤压”、“两者同时进行”心肺复苏。</w:t>
      </w:r>
    </w:p>
    <w:p>
      <w:pPr>
        <w:ind w:firstLine="480"/>
        <w:rPr>
          <w:highlight w:val="none"/>
        </w:rPr>
      </w:pPr>
      <w:r>
        <w:rPr>
          <w:rFonts w:hint="eastAsia"/>
          <w:highlight w:val="none"/>
        </w:rPr>
        <w:t>4.立即拨打120向当地急救中心取得联系（医院在附近的直接送往医院），应详细说明事故地点、严重程度、本部门的联系电话，并派人到路口接应。</w:t>
      </w:r>
    </w:p>
    <w:p>
      <w:pPr>
        <w:ind w:firstLine="480"/>
        <w:rPr>
          <w:highlight w:val="none"/>
        </w:rPr>
      </w:pPr>
      <w:r>
        <w:rPr>
          <w:rFonts w:hint="eastAsia"/>
          <w:highlight w:val="none"/>
        </w:rPr>
        <w:t>5.立即向所属公司、集团公司应急抢救领导小组汇报事故发生情况并寻求支持。</w:t>
      </w:r>
    </w:p>
    <w:p>
      <w:pPr>
        <w:ind w:firstLine="480"/>
        <w:rPr>
          <w:highlight w:val="none"/>
        </w:rPr>
      </w:pPr>
      <w:r>
        <w:rPr>
          <w:rFonts w:hint="eastAsia"/>
          <w:highlight w:val="none"/>
        </w:rPr>
        <w:t>6.维护现场秩序，严密保护事故现场。</w:t>
      </w:r>
    </w:p>
    <w:p>
      <w:pPr>
        <w:ind w:firstLine="480"/>
        <w:rPr>
          <w:highlight w:val="none"/>
        </w:rPr>
      </w:pPr>
      <w:r>
        <w:rPr>
          <w:rFonts w:hint="eastAsia"/>
          <w:highlight w:val="none"/>
        </w:rPr>
        <w:t>2、</w:t>
      </w:r>
      <w:r>
        <w:rPr>
          <w:highlight w:val="none"/>
        </w:rPr>
        <w:t>交通事故现场急救</w:t>
      </w:r>
    </w:p>
    <w:p>
      <w:pPr>
        <w:ind w:firstLine="480"/>
        <w:rPr>
          <w:highlight w:val="none"/>
        </w:rPr>
      </w:pPr>
      <w:r>
        <w:rPr>
          <w:rFonts w:hint="eastAsia"/>
          <w:highlight w:val="none"/>
        </w:rPr>
        <w:t>1.</w:t>
      </w:r>
      <w:r>
        <w:rPr>
          <w:highlight w:val="none"/>
        </w:rPr>
        <w:t>通气:解开衣领，迅速清除伤员口鼻喉的异物。对下颌骨骨折而无颈椎损伤的伤员，可将颈项部托起，头后仰，使气道开放。</w:t>
      </w:r>
    </w:p>
    <w:p>
      <w:pPr>
        <w:ind w:firstLine="480"/>
        <w:rPr>
          <w:highlight w:val="none"/>
        </w:rPr>
      </w:pPr>
      <w:r>
        <w:rPr>
          <w:rFonts w:hint="eastAsia"/>
          <w:highlight w:val="none"/>
        </w:rPr>
        <w:t>2.</w:t>
      </w:r>
      <w:r>
        <w:rPr>
          <w:highlight w:val="none"/>
        </w:rPr>
        <w:t>止血:如果没有止血带，可使用领带、毛巾、围巾、衣物等替代。严禁用铁丝作为止血带使用。</w:t>
      </w:r>
    </w:p>
    <w:p>
      <w:pPr>
        <w:ind w:firstLine="480"/>
        <w:rPr>
          <w:highlight w:val="none"/>
        </w:rPr>
      </w:pPr>
      <w:r>
        <w:rPr>
          <w:rFonts w:hint="eastAsia"/>
          <w:highlight w:val="none"/>
        </w:rPr>
        <w:t>3.</w:t>
      </w:r>
      <w:r>
        <w:rPr>
          <w:highlight w:val="none"/>
        </w:rPr>
        <w:t>包扎: 如发现有骨折端外露，切勿将骨折断端还纳，否则可能导致深层感染</w:t>
      </w:r>
      <w:r>
        <w:rPr>
          <w:rFonts w:hint="eastAsia"/>
          <w:highlight w:val="none"/>
        </w:rPr>
        <w:t>。一旦</w:t>
      </w:r>
      <w:r>
        <w:rPr>
          <w:highlight w:val="none"/>
        </w:rPr>
        <w:t>发生腹壁开放性创伤，可用清洁碗盆扣住外露肠管，严禁在现场将流出的肠管还纳。</w:t>
      </w:r>
    </w:p>
    <w:p>
      <w:pPr>
        <w:ind w:firstLine="480"/>
        <w:rPr>
          <w:highlight w:val="none"/>
        </w:rPr>
      </w:pPr>
      <w:r>
        <w:rPr>
          <w:rFonts w:hint="eastAsia"/>
          <w:highlight w:val="none"/>
        </w:rPr>
        <w:t>4.</w:t>
      </w:r>
      <w:r>
        <w:rPr>
          <w:highlight w:val="none"/>
        </w:rPr>
        <w:t>固定:一般以夹板固定为主。可以用木板、竹竿、树枝等替代。固定范围必须包括骨折邻近的关节，如前臂骨折，固定范围应包括肘关节和腕关节。</w:t>
      </w:r>
    </w:p>
    <w:p>
      <w:pPr>
        <w:ind w:firstLine="480"/>
        <w:rPr>
          <w:highlight w:val="none"/>
        </w:rPr>
      </w:pPr>
      <w:r>
        <w:rPr>
          <w:rFonts w:hint="eastAsia"/>
          <w:highlight w:val="none"/>
        </w:rPr>
        <w:t>5.</w:t>
      </w:r>
      <w:r>
        <w:rPr>
          <w:highlight w:val="none"/>
        </w:rPr>
        <w:t>转运</w:t>
      </w:r>
      <w:r>
        <w:rPr>
          <w:rFonts w:hint="eastAsia"/>
          <w:highlight w:val="none"/>
        </w:rPr>
        <w:t>：</w:t>
      </w:r>
      <w:r>
        <w:rPr>
          <w:highlight w:val="none"/>
        </w:rPr>
        <w:t>昏迷伤者转运，要保持伤者呼吸道通畅。有脊柱损伤的伤者</w:t>
      </w:r>
      <w:r>
        <w:rPr>
          <w:rFonts w:hint="eastAsia"/>
          <w:highlight w:val="none"/>
        </w:rPr>
        <w:t>，</w:t>
      </w:r>
      <w:r>
        <w:rPr>
          <w:highlight w:val="none"/>
        </w:rPr>
        <w:t>搬动必须平稳。使用止血带的伤者，必须在显著部位注明使用止血带的时间。</w:t>
      </w:r>
    </w:p>
    <w:bookmarkEnd w:id="55"/>
    <w:bookmarkEnd w:id="56"/>
    <w:p>
      <w:pPr>
        <w:ind w:firstLine="480"/>
        <w:rPr>
          <w:highlight w:val="none"/>
        </w:rPr>
      </w:pPr>
      <w:r>
        <w:rPr>
          <w:rFonts w:hint="eastAsia"/>
          <w:highlight w:val="none"/>
        </w:rPr>
        <w:t>3、物资储备</w:t>
      </w:r>
    </w:p>
    <w:p>
      <w:pPr>
        <w:ind w:firstLine="480"/>
        <w:rPr>
          <w:highlight w:val="none"/>
        </w:rPr>
      </w:pPr>
      <w:r>
        <w:rPr>
          <w:rFonts w:hint="eastAsia"/>
          <w:highlight w:val="none"/>
        </w:rPr>
        <w:t>应急资源的准备是应急救援工作的重要保障，物资保障组根据潜在危险性质和后果分析，配备应急救援中所需的救援机械和设备、交通工具、医疗救护设备和药品、生活保障物资。</w:t>
      </w:r>
    </w:p>
    <w:p>
      <w:pPr>
        <w:ind w:firstLine="480"/>
        <w:rPr>
          <w:highlight w:val="none"/>
        </w:rPr>
      </w:pPr>
      <w:r>
        <w:rPr>
          <w:rFonts w:hint="eastAsia"/>
          <w:highlight w:val="none"/>
        </w:rPr>
        <w:t>主要应急物资:</w:t>
      </w:r>
    </w:p>
    <w:p>
      <w:pPr>
        <w:ind w:firstLine="480"/>
        <w:rPr>
          <w:highlight w:val="none"/>
        </w:rPr>
      </w:pPr>
      <w:r>
        <w:rPr>
          <w:rFonts w:hint="eastAsia"/>
          <w:highlight w:val="none"/>
        </w:rPr>
        <w:t>1.内部电话、对讲机等联系工具保持畅通;</w:t>
      </w:r>
    </w:p>
    <w:p>
      <w:pPr>
        <w:ind w:firstLine="480"/>
        <w:rPr>
          <w:highlight w:val="none"/>
        </w:rPr>
      </w:pPr>
      <w:r>
        <w:rPr>
          <w:rFonts w:hint="eastAsia"/>
          <w:highlight w:val="none"/>
        </w:rPr>
        <w:t>2.自备发电机和照明线路保持良好工作状态;</w:t>
      </w:r>
    </w:p>
    <w:p>
      <w:pPr>
        <w:ind w:firstLine="480"/>
        <w:rPr>
          <w:rFonts w:hint="eastAsia"/>
          <w:highlight w:val="none"/>
        </w:rPr>
      </w:pPr>
      <w:r>
        <w:rPr>
          <w:rFonts w:hint="eastAsia"/>
          <w:highlight w:val="none"/>
        </w:rPr>
        <w:t>3.医疗救护物资包括:医药箱、担架、创可贴、紫红药水等基本医药用品。</w:t>
      </w:r>
    </w:p>
    <w:p>
      <w:pPr>
        <w:pStyle w:val="17"/>
        <w:rPr>
          <w:rFonts w:hint="eastAsia"/>
          <w:highlight w:val="none"/>
        </w:rPr>
      </w:pPr>
    </w:p>
    <w:p>
      <w:pPr>
        <w:ind w:firstLine="480"/>
        <w:rPr>
          <w:highlight w:val="none"/>
        </w:rPr>
      </w:pPr>
      <w:r>
        <w:rPr>
          <w:rFonts w:hint="eastAsia"/>
          <w:highlight w:val="none"/>
        </w:rPr>
        <w:t>附件1：关于廉江市廉江河综合治理工程新村电站片项目可研究性报告变更事项的批复</w:t>
      </w:r>
    </w:p>
    <w:p>
      <w:pPr>
        <w:ind w:firstLine="480"/>
        <w:rPr>
          <w:highlight w:val="none"/>
        </w:rPr>
      </w:pPr>
      <w:r>
        <w:rPr>
          <w:rFonts w:hint="eastAsia"/>
          <w:highlight w:val="none"/>
        </w:rPr>
        <w:t>附件2：现状树木与拆除工程量施工图</w:t>
      </w:r>
    </w:p>
    <w:p>
      <w:pPr>
        <w:ind w:firstLine="480"/>
        <w:rPr>
          <w:highlight w:val="none"/>
        </w:rPr>
      </w:pPr>
      <w:r>
        <w:rPr>
          <w:rFonts w:hint="eastAsia"/>
          <w:highlight w:val="none"/>
        </w:rPr>
        <w:t>附件3：苗木迁移安置位置图</w:t>
      </w:r>
    </w:p>
    <w:p>
      <w:pPr>
        <w:rPr>
          <w:highlight w:val="none"/>
        </w:rPr>
      </w:pPr>
    </w:p>
    <w:p>
      <w:pPr>
        <w:ind w:firstLine="480"/>
        <w:rPr>
          <w:highlight w:val="none"/>
        </w:rPr>
      </w:pPr>
    </w:p>
    <w:sectPr>
      <w:pgSz w:w="11906" w:h="16838"/>
      <w:pgMar w:top="1417" w:right="1418" w:bottom="1417" w:left="1418" w:header="851" w:footer="992" w:gutter="0"/>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oXYkzAgAAZ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4oXYkzAgAAZQQAAA4AAAAAAAAAAQAgAAAAHwEAAGRycy9lMm9Eb2MueG1sUEsF&#10;BgAAAAAGAAYAWQEAAMQFAAAAAA==&#10;">
              <v:fill on="f" focussize="0,0"/>
              <v:stroke on="f" weight="0.5pt"/>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95654"/>
    <w:multiLevelType w:val="singleLevel"/>
    <w:tmpl w:val="A7C95654"/>
    <w:lvl w:ilvl="0" w:tentative="0">
      <w:start w:val="1"/>
      <w:numFmt w:val="decimal"/>
      <w:suff w:val="nothing"/>
      <w:lvlText w:val="%1、"/>
      <w:lvlJc w:val="left"/>
    </w:lvl>
  </w:abstractNum>
  <w:abstractNum w:abstractNumId="1">
    <w:nsid w:val="FD781B8D"/>
    <w:multiLevelType w:val="singleLevel"/>
    <w:tmpl w:val="FD781B8D"/>
    <w:lvl w:ilvl="0" w:tentative="0">
      <w:start w:val="1"/>
      <w:numFmt w:val="chineseCounting"/>
      <w:suff w:val="space"/>
      <w:lvlText w:val="第%1章"/>
      <w:lvlJc w:val="left"/>
      <w:rPr>
        <w:rFonts w:hint="eastAsia"/>
      </w:rPr>
    </w:lvl>
  </w:abstractNum>
  <w:abstractNum w:abstractNumId="2">
    <w:nsid w:val="7FC01780"/>
    <w:multiLevelType w:val="singleLevel"/>
    <w:tmpl w:val="7FC01780"/>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0N2I5ZjRiOWM0YzQ5ODU2OTI1NzlkYzgwMGFkMWUifQ=="/>
  </w:docVars>
  <w:rsids>
    <w:rsidRoot w:val="3DA224A3"/>
    <w:rsid w:val="00000CB0"/>
    <w:rsid w:val="00012442"/>
    <w:rsid w:val="0002507B"/>
    <w:rsid w:val="000563C0"/>
    <w:rsid w:val="00056804"/>
    <w:rsid w:val="000710B4"/>
    <w:rsid w:val="000847A7"/>
    <w:rsid w:val="00135294"/>
    <w:rsid w:val="00151A3F"/>
    <w:rsid w:val="00167826"/>
    <w:rsid w:val="00170A74"/>
    <w:rsid w:val="0019049F"/>
    <w:rsid w:val="0019058A"/>
    <w:rsid w:val="002028EA"/>
    <w:rsid w:val="002215C3"/>
    <w:rsid w:val="0027231D"/>
    <w:rsid w:val="00273751"/>
    <w:rsid w:val="002A0B2D"/>
    <w:rsid w:val="002B21D3"/>
    <w:rsid w:val="002C582B"/>
    <w:rsid w:val="002E1D65"/>
    <w:rsid w:val="00301195"/>
    <w:rsid w:val="00307567"/>
    <w:rsid w:val="00325CEF"/>
    <w:rsid w:val="00331950"/>
    <w:rsid w:val="00337D44"/>
    <w:rsid w:val="003441B6"/>
    <w:rsid w:val="003641D0"/>
    <w:rsid w:val="003B49B4"/>
    <w:rsid w:val="003B7C4A"/>
    <w:rsid w:val="00400EFE"/>
    <w:rsid w:val="00414F99"/>
    <w:rsid w:val="0041617E"/>
    <w:rsid w:val="00416AA9"/>
    <w:rsid w:val="00453C31"/>
    <w:rsid w:val="00455B1F"/>
    <w:rsid w:val="0047026A"/>
    <w:rsid w:val="00493ED2"/>
    <w:rsid w:val="004B1059"/>
    <w:rsid w:val="004B48C4"/>
    <w:rsid w:val="004B73C9"/>
    <w:rsid w:val="004E57D3"/>
    <w:rsid w:val="004F64F3"/>
    <w:rsid w:val="004F7358"/>
    <w:rsid w:val="00556996"/>
    <w:rsid w:val="00557360"/>
    <w:rsid w:val="00586896"/>
    <w:rsid w:val="005B63D3"/>
    <w:rsid w:val="005C4B99"/>
    <w:rsid w:val="005D36DB"/>
    <w:rsid w:val="005D43A5"/>
    <w:rsid w:val="005D78CE"/>
    <w:rsid w:val="006112CA"/>
    <w:rsid w:val="0063029E"/>
    <w:rsid w:val="00633C57"/>
    <w:rsid w:val="00670C9D"/>
    <w:rsid w:val="0068382A"/>
    <w:rsid w:val="00683AFD"/>
    <w:rsid w:val="00687557"/>
    <w:rsid w:val="006971EB"/>
    <w:rsid w:val="007259AD"/>
    <w:rsid w:val="00767BA7"/>
    <w:rsid w:val="00785EAF"/>
    <w:rsid w:val="007863EA"/>
    <w:rsid w:val="0079130C"/>
    <w:rsid w:val="00792E0B"/>
    <w:rsid w:val="007B0897"/>
    <w:rsid w:val="007D1E5F"/>
    <w:rsid w:val="007E29BC"/>
    <w:rsid w:val="007E6DC9"/>
    <w:rsid w:val="008950BE"/>
    <w:rsid w:val="008A78F1"/>
    <w:rsid w:val="008C1843"/>
    <w:rsid w:val="008E34D9"/>
    <w:rsid w:val="00905764"/>
    <w:rsid w:val="00925F8D"/>
    <w:rsid w:val="00927CC0"/>
    <w:rsid w:val="009461C7"/>
    <w:rsid w:val="00962BED"/>
    <w:rsid w:val="009861A4"/>
    <w:rsid w:val="009867D5"/>
    <w:rsid w:val="009D4E8F"/>
    <w:rsid w:val="00A26359"/>
    <w:rsid w:val="00A32AB8"/>
    <w:rsid w:val="00A41C6E"/>
    <w:rsid w:val="00A77BDD"/>
    <w:rsid w:val="00A8055F"/>
    <w:rsid w:val="00AA2090"/>
    <w:rsid w:val="00AC6753"/>
    <w:rsid w:val="00AD2079"/>
    <w:rsid w:val="00AE161F"/>
    <w:rsid w:val="00AF763D"/>
    <w:rsid w:val="00B04683"/>
    <w:rsid w:val="00B3552A"/>
    <w:rsid w:val="00B35BE2"/>
    <w:rsid w:val="00B514BD"/>
    <w:rsid w:val="00B56F0A"/>
    <w:rsid w:val="00B625F3"/>
    <w:rsid w:val="00B70E38"/>
    <w:rsid w:val="00B8314A"/>
    <w:rsid w:val="00B9214E"/>
    <w:rsid w:val="00BD6F66"/>
    <w:rsid w:val="00BE4A71"/>
    <w:rsid w:val="00BF1297"/>
    <w:rsid w:val="00C25DEB"/>
    <w:rsid w:val="00C47127"/>
    <w:rsid w:val="00C53338"/>
    <w:rsid w:val="00C66654"/>
    <w:rsid w:val="00C91543"/>
    <w:rsid w:val="00C93280"/>
    <w:rsid w:val="00CB16E7"/>
    <w:rsid w:val="00CC5D97"/>
    <w:rsid w:val="00CD6EB2"/>
    <w:rsid w:val="00CF1EC6"/>
    <w:rsid w:val="00D04EBB"/>
    <w:rsid w:val="00D46E85"/>
    <w:rsid w:val="00D540F5"/>
    <w:rsid w:val="00D851A1"/>
    <w:rsid w:val="00DB4F9B"/>
    <w:rsid w:val="00DE26FC"/>
    <w:rsid w:val="00DF67A6"/>
    <w:rsid w:val="00E2022B"/>
    <w:rsid w:val="00E323C9"/>
    <w:rsid w:val="00E441B2"/>
    <w:rsid w:val="00E45985"/>
    <w:rsid w:val="00E50809"/>
    <w:rsid w:val="00E63A83"/>
    <w:rsid w:val="00EC722D"/>
    <w:rsid w:val="00ED3B65"/>
    <w:rsid w:val="00F06B4C"/>
    <w:rsid w:val="00F26DB1"/>
    <w:rsid w:val="00F36E6E"/>
    <w:rsid w:val="00F572CF"/>
    <w:rsid w:val="00F83296"/>
    <w:rsid w:val="00F83C94"/>
    <w:rsid w:val="00F925C5"/>
    <w:rsid w:val="00FA060C"/>
    <w:rsid w:val="00FA0DE8"/>
    <w:rsid w:val="00FB62F5"/>
    <w:rsid w:val="00FF5811"/>
    <w:rsid w:val="01F54572"/>
    <w:rsid w:val="03172BEC"/>
    <w:rsid w:val="03657B23"/>
    <w:rsid w:val="04844854"/>
    <w:rsid w:val="052B1173"/>
    <w:rsid w:val="06E37835"/>
    <w:rsid w:val="082A23B6"/>
    <w:rsid w:val="084D7B50"/>
    <w:rsid w:val="0889068B"/>
    <w:rsid w:val="08DA5315"/>
    <w:rsid w:val="090E2617"/>
    <w:rsid w:val="09212370"/>
    <w:rsid w:val="09E313FB"/>
    <w:rsid w:val="0A0B4281"/>
    <w:rsid w:val="0A3C0E93"/>
    <w:rsid w:val="0ADE2AC6"/>
    <w:rsid w:val="0B87739E"/>
    <w:rsid w:val="0BCD6867"/>
    <w:rsid w:val="0BE16C10"/>
    <w:rsid w:val="0CBD2BA7"/>
    <w:rsid w:val="0D922A98"/>
    <w:rsid w:val="0EA037B3"/>
    <w:rsid w:val="0FA33C28"/>
    <w:rsid w:val="0FCF4B61"/>
    <w:rsid w:val="105B7A71"/>
    <w:rsid w:val="12942147"/>
    <w:rsid w:val="13620456"/>
    <w:rsid w:val="1369219B"/>
    <w:rsid w:val="14A25BF6"/>
    <w:rsid w:val="160C4A0C"/>
    <w:rsid w:val="170B0E5F"/>
    <w:rsid w:val="173C0FBE"/>
    <w:rsid w:val="18F172E7"/>
    <w:rsid w:val="1964600E"/>
    <w:rsid w:val="19AB3775"/>
    <w:rsid w:val="1A1B135F"/>
    <w:rsid w:val="1A1D746F"/>
    <w:rsid w:val="1A5E6EF5"/>
    <w:rsid w:val="1A966B12"/>
    <w:rsid w:val="1BAF6C2F"/>
    <w:rsid w:val="1F5928C5"/>
    <w:rsid w:val="1FA407DF"/>
    <w:rsid w:val="21A00615"/>
    <w:rsid w:val="21D97284"/>
    <w:rsid w:val="2221328A"/>
    <w:rsid w:val="22586B80"/>
    <w:rsid w:val="231A3B41"/>
    <w:rsid w:val="24922CCE"/>
    <w:rsid w:val="263A7CDD"/>
    <w:rsid w:val="26976211"/>
    <w:rsid w:val="272C0707"/>
    <w:rsid w:val="29B24035"/>
    <w:rsid w:val="2A5D23EC"/>
    <w:rsid w:val="2ABF5CC1"/>
    <w:rsid w:val="2AF61758"/>
    <w:rsid w:val="2D0B346E"/>
    <w:rsid w:val="2DD90EBD"/>
    <w:rsid w:val="2EBA484A"/>
    <w:rsid w:val="301A1E26"/>
    <w:rsid w:val="302744DF"/>
    <w:rsid w:val="30622A8B"/>
    <w:rsid w:val="313808A4"/>
    <w:rsid w:val="330636CC"/>
    <w:rsid w:val="331F3816"/>
    <w:rsid w:val="348E0C53"/>
    <w:rsid w:val="34AF3AEE"/>
    <w:rsid w:val="35CF32F3"/>
    <w:rsid w:val="373B1EDA"/>
    <w:rsid w:val="38D44F22"/>
    <w:rsid w:val="3986014B"/>
    <w:rsid w:val="399D5FC1"/>
    <w:rsid w:val="3B8D5020"/>
    <w:rsid w:val="3DA224A3"/>
    <w:rsid w:val="3DA741A8"/>
    <w:rsid w:val="4003709D"/>
    <w:rsid w:val="40AC7FD4"/>
    <w:rsid w:val="40AD7A54"/>
    <w:rsid w:val="416E027F"/>
    <w:rsid w:val="42187908"/>
    <w:rsid w:val="428471F1"/>
    <w:rsid w:val="443609BF"/>
    <w:rsid w:val="463B33A0"/>
    <w:rsid w:val="46D95D58"/>
    <w:rsid w:val="472471F5"/>
    <w:rsid w:val="472B34CE"/>
    <w:rsid w:val="4A0D7DDD"/>
    <w:rsid w:val="4A4C2FEB"/>
    <w:rsid w:val="4AC908F7"/>
    <w:rsid w:val="4C72455F"/>
    <w:rsid w:val="4D514AAC"/>
    <w:rsid w:val="4F192EAE"/>
    <w:rsid w:val="4F614458"/>
    <w:rsid w:val="51091416"/>
    <w:rsid w:val="51913677"/>
    <w:rsid w:val="51A60F32"/>
    <w:rsid w:val="53083C96"/>
    <w:rsid w:val="53171FC8"/>
    <w:rsid w:val="5390026F"/>
    <w:rsid w:val="558438FF"/>
    <w:rsid w:val="56257492"/>
    <w:rsid w:val="563175B6"/>
    <w:rsid w:val="57294BF5"/>
    <w:rsid w:val="576D2FC5"/>
    <w:rsid w:val="579E2B5B"/>
    <w:rsid w:val="586B093E"/>
    <w:rsid w:val="5A060AB6"/>
    <w:rsid w:val="5B7A40A4"/>
    <w:rsid w:val="5B7B475D"/>
    <w:rsid w:val="5BA7792C"/>
    <w:rsid w:val="5BC7072C"/>
    <w:rsid w:val="5D193639"/>
    <w:rsid w:val="5F2C175F"/>
    <w:rsid w:val="606F574B"/>
    <w:rsid w:val="615D47CA"/>
    <w:rsid w:val="61704C43"/>
    <w:rsid w:val="61F23D20"/>
    <w:rsid w:val="62DA3FAA"/>
    <w:rsid w:val="63ED4673"/>
    <w:rsid w:val="65A81AA0"/>
    <w:rsid w:val="66902184"/>
    <w:rsid w:val="6A0A3D24"/>
    <w:rsid w:val="6A102C4D"/>
    <w:rsid w:val="6AB73D58"/>
    <w:rsid w:val="6AD91F0F"/>
    <w:rsid w:val="6C127C8E"/>
    <w:rsid w:val="6C620072"/>
    <w:rsid w:val="6CA13F26"/>
    <w:rsid w:val="6CF940B4"/>
    <w:rsid w:val="6CFA6B5B"/>
    <w:rsid w:val="6DA71E62"/>
    <w:rsid w:val="6EF811B3"/>
    <w:rsid w:val="6FBC6EED"/>
    <w:rsid w:val="6FFF0D00"/>
    <w:rsid w:val="702E627E"/>
    <w:rsid w:val="73393CF6"/>
    <w:rsid w:val="74582E6E"/>
    <w:rsid w:val="746C7962"/>
    <w:rsid w:val="74FC099E"/>
    <w:rsid w:val="76421B31"/>
    <w:rsid w:val="76631DAE"/>
    <w:rsid w:val="77080109"/>
    <w:rsid w:val="77BF249E"/>
    <w:rsid w:val="79F3331C"/>
    <w:rsid w:val="7A7C6425"/>
    <w:rsid w:val="7AA963EF"/>
    <w:rsid w:val="7AB4755F"/>
    <w:rsid w:val="7AD65B35"/>
    <w:rsid w:val="7AE72D4A"/>
    <w:rsid w:val="7B6C0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ind w:firstLine="0" w:firstLineChars="0"/>
      <w:outlineLvl w:val="1"/>
    </w:pPr>
    <w:rPr>
      <w:rFonts w:ascii="Arial" w:hAnsi="Arial"/>
      <w:b/>
    </w:rPr>
  </w:style>
  <w:style w:type="paragraph" w:styleId="5">
    <w:name w:val="heading 3"/>
    <w:basedOn w:val="6"/>
    <w:next w:val="1"/>
    <w:qFormat/>
    <w:uiPriority w:val="0"/>
    <w:pPr>
      <w:keepNext/>
      <w:keepLines/>
      <w:snapToGrid w:val="0"/>
      <w:outlineLvl w:val="2"/>
    </w:pPr>
    <w:rPr>
      <w:rFonts w:ascii="Times New Roman" w:hAnsi="Times New Roman" w:eastAsia="仿宋_GB2312"/>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customStyle="1" w:styleId="6">
    <w:name w:val="首行不缩进"/>
    <w:qFormat/>
    <w:uiPriority w:val="0"/>
    <w:pPr>
      <w:spacing w:line="300" w:lineRule="auto"/>
    </w:pPr>
    <w:rPr>
      <w:rFonts w:asciiTheme="minorHAnsi" w:hAnsiTheme="minorHAnsi" w:eastAsiaTheme="minorEastAsia" w:cstheme="minorBidi"/>
      <w:kern w:val="2"/>
      <w:sz w:val="24"/>
      <w:szCs w:val="22"/>
      <w:lang w:val="en-US" w:eastAsia="zh-CN" w:bidi="ar-SA"/>
    </w:rPr>
  </w:style>
  <w:style w:type="paragraph" w:styleId="7">
    <w:name w:val="caption"/>
    <w:basedOn w:val="1"/>
    <w:next w:val="1"/>
    <w:semiHidden/>
    <w:unhideWhenUsed/>
    <w:qFormat/>
    <w:uiPriority w:val="0"/>
    <w:pPr>
      <w:spacing w:afterLines="50"/>
      <w:jc w:val="center"/>
    </w:pPr>
    <w:rPr>
      <w:rFonts w:ascii="Times New Roman" w:hAnsi="Times New Roman" w:eastAsia="黑体" w:cs="Times New Roman"/>
    </w:rPr>
  </w:style>
  <w:style w:type="paragraph" w:styleId="8">
    <w:name w:val="Document Map"/>
    <w:basedOn w:val="1"/>
    <w:link w:val="32"/>
    <w:qFormat/>
    <w:uiPriority w:val="0"/>
    <w:rPr>
      <w:rFonts w:ascii="宋体"/>
      <w:sz w:val="18"/>
      <w:szCs w:val="18"/>
    </w:rPr>
  </w:style>
  <w:style w:type="paragraph" w:styleId="9">
    <w:name w:val="Body Text"/>
    <w:basedOn w:val="1"/>
    <w:next w:val="1"/>
    <w:qFormat/>
    <w:uiPriority w:val="0"/>
  </w:style>
  <w:style w:type="paragraph" w:styleId="10">
    <w:name w:val="toc 3"/>
    <w:basedOn w:val="1"/>
    <w:next w:val="1"/>
    <w:qFormat/>
    <w:uiPriority w:val="39"/>
    <w:pPr>
      <w:ind w:left="840" w:leftChars="400"/>
    </w:pPr>
  </w:style>
  <w:style w:type="paragraph" w:styleId="11">
    <w:name w:val="Date"/>
    <w:basedOn w:val="1"/>
    <w:next w:val="1"/>
    <w:link w:val="30"/>
    <w:qFormat/>
    <w:uiPriority w:val="0"/>
    <w:pPr>
      <w:widowControl/>
      <w:spacing w:line="300" w:lineRule="auto"/>
      <w:ind w:firstLine="480"/>
      <w:jc w:val="left"/>
    </w:pPr>
    <w:rPr>
      <w:rFonts w:ascii="宋体" w:hAnsi="宋体" w:eastAsia="仿宋_GB2312" w:cs="Times New Roman"/>
      <w:kern w:val="0"/>
      <w:sz w:val="28"/>
      <w:szCs w:val="20"/>
    </w:rPr>
  </w:style>
  <w:style w:type="paragraph" w:styleId="12">
    <w:name w:val="Balloon Text"/>
    <w:basedOn w:val="1"/>
    <w:link w:val="28"/>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Body Text First Indent"/>
    <w:basedOn w:val="9"/>
    <w:next w:val="1"/>
    <w:qFormat/>
    <w:uiPriority w:val="0"/>
    <w:pPr>
      <w:ind w:firstLine="420" w:firstLineChars="100"/>
    </w:pPr>
  </w:style>
  <w:style w:type="paragraph" w:styleId="18">
    <w:name w:val="Body Text First Indent 2"/>
    <w:basedOn w:val="9"/>
    <w:next w:val="1"/>
    <w:qFormat/>
    <w:uiPriority w:val="99"/>
    <w:pPr>
      <w:ind w:firstLine="420"/>
    </w:pPr>
    <w:rPr>
      <w:rFonts w:ascii="Times New Roman" w:hAnsi="Times New Roman"/>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font41"/>
    <w:basedOn w:val="21"/>
    <w:qFormat/>
    <w:uiPriority w:val="0"/>
    <w:rPr>
      <w:rFonts w:ascii="Segoe UI" w:hAnsi="Segoe UI" w:eastAsia="Segoe UI" w:cs="Segoe UI"/>
      <w:color w:val="000000"/>
      <w:sz w:val="22"/>
      <w:szCs w:val="22"/>
      <w:u w:val="none"/>
    </w:rPr>
  </w:style>
  <w:style w:type="character" w:customStyle="1" w:styleId="24">
    <w:name w:val="font01"/>
    <w:basedOn w:val="21"/>
    <w:qFormat/>
    <w:uiPriority w:val="0"/>
    <w:rPr>
      <w:rFonts w:ascii="Calibri" w:hAnsi="Calibri" w:cs="Calibri"/>
      <w:color w:val="000000"/>
      <w:sz w:val="22"/>
      <w:szCs w:val="22"/>
      <w:u w:val="none"/>
    </w:rPr>
  </w:style>
  <w:style w:type="character" w:customStyle="1" w:styleId="25">
    <w:name w:val="font11"/>
    <w:basedOn w:val="21"/>
    <w:qFormat/>
    <w:uiPriority w:val="0"/>
    <w:rPr>
      <w:rFonts w:hint="eastAsia" w:ascii="等线" w:hAnsi="等线" w:eastAsia="等线" w:cs="等线"/>
      <w:color w:val="000000"/>
      <w:sz w:val="22"/>
      <w:szCs w:val="22"/>
      <w:u w:val="none"/>
    </w:rPr>
  </w:style>
  <w:style w:type="character" w:customStyle="1" w:styleId="26">
    <w:name w:val="font81"/>
    <w:basedOn w:val="21"/>
    <w:qFormat/>
    <w:uiPriority w:val="0"/>
    <w:rPr>
      <w:rFonts w:hint="default" w:ascii="Calibri" w:hAnsi="Calibri" w:cs="Calibri"/>
      <w:color w:val="000000"/>
      <w:sz w:val="22"/>
      <w:szCs w:val="22"/>
      <w:u w:val="none"/>
    </w:rPr>
  </w:style>
  <w:style w:type="paragraph" w:customStyle="1" w:styleId="27">
    <w:name w:val="WPSOffice手动目录 1"/>
    <w:qFormat/>
    <w:uiPriority w:val="0"/>
    <w:rPr>
      <w:rFonts w:ascii="Times New Roman" w:hAnsi="Times New Roman" w:eastAsia="宋体" w:cs="Times New Roman"/>
      <w:lang w:val="en-US" w:eastAsia="zh-CN" w:bidi="ar-SA"/>
    </w:rPr>
  </w:style>
  <w:style w:type="character" w:customStyle="1" w:styleId="28">
    <w:name w:val="批注框文本 Char"/>
    <w:basedOn w:val="21"/>
    <w:link w:val="12"/>
    <w:qFormat/>
    <w:uiPriority w:val="0"/>
    <w:rPr>
      <w:rFonts w:asciiTheme="minorHAnsi" w:hAnsiTheme="minorHAnsi" w:eastAsiaTheme="minorEastAsia" w:cstheme="minorBidi"/>
      <w:kern w:val="2"/>
      <w:sz w:val="18"/>
      <w:szCs w:val="18"/>
    </w:rPr>
  </w:style>
  <w:style w:type="paragraph" w:styleId="29">
    <w:name w:val="List Paragraph"/>
    <w:basedOn w:val="1"/>
    <w:unhideWhenUsed/>
    <w:qFormat/>
    <w:uiPriority w:val="99"/>
    <w:pPr>
      <w:ind w:firstLine="420"/>
    </w:pPr>
  </w:style>
  <w:style w:type="character" w:customStyle="1" w:styleId="30">
    <w:name w:val="日期 Char"/>
    <w:basedOn w:val="21"/>
    <w:link w:val="11"/>
    <w:qFormat/>
    <w:uiPriority w:val="0"/>
    <w:rPr>
      <w:rFonts w:ascii="宋体" w:hAnsi="宋体" w:eastAsia="仿宋_GB2312"/>
      <w:sz w:val="28"/>
    </w:rPr>
  </w:style>
  <w:style w:type="paragraph" w:customStyle="1" w:styleId="31">
    <w:name w:val="Revision"/>
    <w:hidden/>
    <w:unhideWhenUsed/>
    <w:qFormat/>
    <w:uiPriority w:val="99"/>
    <w:rPr>
      <w:rFonts w:eastAsia="宋体" w:asciiTheme="minorHAnsi" w:hAnsiTheme="minorHAnsi" w:cstheme="minorBidi"/>
      <w:kern w:val="2"/>
      <w:sz w:val="24"/>
      <w:szCs w:val="24"/>
      <w:lang w:val="en-US" w:eastAsia="zh-CN" w:bidi="ar-SA"/>
    </w:rPr>
  </w:style>
  <w:style w:type="character" w:customStyle="1" w:styleId="32">
    <w:name w:val="文档结构图 Char"/>
    <w:basedOn w:val="21"/>
    <w:link w:val="8"/>
    <w:qFormat/>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1146A2-1E1E-40C9-AA35-5EBE4EB79198}">
  <ds:schemaRefs/>
</ds:datastoreItem>
</file>

<file path=docProps/app.xml><?xml version="1.0" encoding="utf-8"?>
<Properties xmlns="http://schemas.openxmlformats.org/officeDocument/2006/extended-properties" xmlns:vt="http://schemas.openxmlformats.org/officeDocument/2006/docPropsVTypes">
  <Template>Normal</Template>
  <Pages>36</Pages>
  <Words>15066</Words>
  <Characters>15798</Characters>
  <Lines>136</Lines>
  <Paragraphs>38</Paragraphs>
  <TotalTime>7</TotalTime>
  <ScaleCrop>false</ScaleCrop>
  <LinksUpToDate>false</LinksUpToDate>
  <CharactersWithSpaces>16005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2022-07-14T16:58:00Z</dcterms:created>
  <dc:creator>荔枝</dc:creator>
  <cp:lastModifiedBy>@·Freya</cp:lastModifiedBy>
  <cp:lastPrinted>2022-08-25T03:05:00Z</cp:lastPrinted>
  <dcterms:modified xsi:type="dcterms:W3CDTF">2023-07-04T07:32:27Z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847161D54DE74075B2F71CE4CBD4175C</vt:lpwstr>
  </property>
</Properties>
</file>