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rPr>
        <w:t>（二）公共资源交易领域基层政务公开标准目录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仿宋_GB2312" w:hAnsi="Times New Roman" w:eastAsia="仿宋_GB2312"/>
                <w:color w:val="000000"/>
                <w:kern w:val="0"/>
                <w:sz w:val="18"/>
                <w:szCs w:val="18"/>
              </w:rPr>
            </w:pPr>
          </w:p>
        </w:tc>
        <w:tc>
          <w:tcPr>
            <w:tcW w:w="900" w:type="dxa"/>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noWrap w:val="0"/>
            <w:vAlign w:val="center"/>
          </w:tcPr>
          <w:p>
            <w:pPr>
              <w:widowControl/>
              <w:jc w:val="left"/>
              <w:rPr>
                <w:rFonts w:hint="eastAsia" w:ascii="黑体" w:hAnsi="宋体" w:eastAsia="黑体" w:cs="宋体"/>
                <w:kern w:val="0"/>
                <w:sz w:val="22"/>
              </w:rPr>
            </w:pPr>
          </w:p>
        </w:tc>
        <w:tc>
          <w:tcPr>
            <w:tcW w:w="2340" w:type="dxa"/>
            <w:vMerge w:val="continue"/>
            <w:noWrap w:val="0"/>
            <w:vAlign w:val="center"/>
          </w:tcPr>
          <w:p>
            <w:pPr>
              <w:widowControl/>
              <w:jc w:val="left"/>
              <w:rPr>
                <w:rFonts w:hint="eastAsia" w:ascii="黑体" w:hAnsi="宋体" w:eastAsia="黑体" w:cs="宋体"/>
                <w:kern w:val="0"/>
                <w:sz w:val="22"/>
              </w:rPr>
            </w:pPr>
          </w:p>
        </w:tc>
        <w:tc>
          <w:tcPr>
            <w:tcW w:w="1620" w:type="dxa"/>
            <w:vMerge w:val="continue"/>
            <w:noWrap w:val="0"/>
            <w:vAlign w:val="center"/>
          </w:tcPr>
          <w:p>
            <w:pPr>
              <w:widowControl/>
              <w:jc w:val="left"/>
              <w:rPr>
                <w:rFonts w:hint="eastAsia" w:ascii="黑体" w:hAnsi="宋体" w:eastAsia="黑体" w:cs="宋体"/>
                <w:kern w:val="0"/>
                <w:sz w:val="22"/>
              </w:rPr>
            </w:pPr>
          </w:p>
        </w:tc>
        <w:tc>
          <w:tcPr>
            <w:tcW w:w="956" w:type="dxa"/>
            <w:vMerge w:val="continue"/>
            <w:noWrap w:val="0"/>
            <w:vAlign w:val="center"/>
          </w:tcPr>
          <w:p>
            <w:pPr>
              <w:widowControl/>
              <w:jc w:val="left"/>
              <w:rPr>
                <w:rFonts w:ascii="黑体" w:hAnsi="宋体" w:eastAsia="黑体" w:cs="宋体"/>
                <w:kern w:val="0"/>
                <w:sz w:val="22"/>
              </w:rPr>
            </w:pPr>
          </w:p>
        </w:tc>
        <w:tc>
          <w:tcPr>
            <w:tcW w:w="185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1</w:t>
            </w:r>
          </w:p>
        </w:tc>
        <w:tc>
          <w:tcPr>
            <w:tcW w:w="900" w:type="dxa"/>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2</w:t>
            </w:r>
          </w:p>
        </w:tc>
        <w:tc>
          <w:tcPr>
            <w:tcW w:w="900" w:type="dxa"/>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3</w:t>
            </w:r>
          </w:p>
        </w:tc>
        <w:tc>
          <w:tcPr>
            <w:tcW w:w="900" w:type="dxa"/>
            <w:vMerge w:val="restar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restart"/>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sz w:val="18"/>
                <w:szCs w:val="18"/>
                <w:lang w:eastAsia="zh-CN"/>
              </w:rPr>
            </w:pPr>
            <w:r>
              <w:rPr>
                <w:rFonts w:hint="eastAsia" w:ascii="仿宋_GB2312" w:hAnsi="宋体" w:eastAsia="仿宋_GB2312"/>
                <w:sz w:val="18"/>
                <w:szCs w:val="18"/>
                <w:lang w:val="en-US" w:eastAsia="zh-CN"/>
              </w:rPr>
              <w:t>4</w:t>
            </w:r>
          </w:p>
        </w:tc>
        <w:tc>
          <w:tcPr>
            <w:tcW w:w="900" w:type="dxa"/>
            <w:vMerge w:val="continue"/>
            <w:noWrap w:val="0"/>
            <w:vAlign w:val="center"/>
          </w:tcPr>
          <w:p>
            <w:pPr>
              <w:jc w:val="center"/>
              <w:rPr>
                <w:rFonts w:hint="eastAsia" w:ascii="仿宋_GB2312" w:hAnsi="宋体" w:eastAsia="仿宋_GB2312" w:cs="宋体"/>
                <w:sz w:val="18"/>
                <w:szCs w:val="18"/>
              </w:rPr>
            </w:pPr>
          </w:p>
        </w:tc>
        <w:tc>
          <w:tcPr>
            <w:tcW w:w="77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中标结果</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招标项目名称、中标人名称、中标价、工期、项目负责人、中标内容。</w:t>
            </w:r>
          </w:p>
        </w:tc>
        <w:tc>
          <w:tcPr>
            <w:tcW w:w="2340" w:type="dxa"/>
            <w:vMerge w:val="continue"/>
            <w:noWrap w:val="0"/>
            <w:vAlign w:val="center"/>
          </w:tcPr>
          <w:p>
            <w:pPr>
              <w:rPr>
                <w:rFonts w:hint="eastAsia" w:ascii="仿宋_GB2312" w:hAnsi="宋体" w:eastAsia="仿宋_GB2312"/>
                <w:sz w:val="18"/>
                <w:szCs w:val="18"/>
              </w:rPr>
            </w:pPr>
          </w:p>
        </w:tc>
        <w:tc>
          <w:tcPr>
            <w:tcW w:w="162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sz w:val="18"/>
                <w:szCs w:val="18"/>
                <w:lang w:eastAsia="zh-CN"/>
              </w:rPr>
            </w:pPr>
            <w:r>
              <w:rPr>
                <w:rFonts w:hint="eastAsia" w:ascii="仿宋_GB2312" w:eastAsia="仿宋_GB2312"/>
                <w:sz w:val="18"/>
                <w:szCs w:val="18"/>
                <w:lang w:val="en-US" w:eastAsia="zh-CN"/>
              </w:rPr>
              <w:t>5</w:t>
            </w:r>
          </w:p>
        </w:tc>
        <w:tc>
          <w:tcPr>
            <w:tcW w:w="900" w:type="dxa"/>
            <w:vMerge w:val="restart"/>
            <w:noWrap w:val="0"/>
            <w:vAlign w:val="center"/>
          </w:tcPr>
          <w:p>
            <w:pPr>
              <w:jc w:val="center"/>
              <w:rPr>
                <w:rFonts w:hint="eastAsia" w:ascii="仿宋_GB2312" w:hAnsi="宋体" w:eastAsia="仿宋_GB2312"/>
                <w:sz w:val="18"/>
                <w:szCs w:val="18"/>
              </w:rPr>
            </w:pPr>
            <w:r>
              <w:rPr>
                <w:rFonts w:hint="eastAsia" w:ascii="仿宋_GB2312" w:eastAsia="仿宋_GB2312"/>
                <w:sz w:val="18"/>
                <w:szCs w:val="18"/>
              </w:rPr>
              <w:t>工程建设项目招标投标信息</w:t>
            </w:r>
          </w:p>
        </w:tc>
        <w:tc>
          <w:tcPr>
            <w:tcW w:w="776"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364"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noWrap w:val="0"/>
            <w:vAlign w:val="center"/>
          </w:tcPr>
          <w:p>
            <w:pPr>
              <w:rPr>
                <w:rFonts w:hint="eastAsia" w:ascii="仿宋_GB2312" w:hAnsi="宋体"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noWrap w:val="0"/>
            <w:vAlign w:val="center"/>
          </w:tcPr>
          <w:p>
            <w:pPr>
              <w:jc w:val="center"/>
              <w:rPr>
                <w:rFonts w:hint="eastAsia" w:ascii="仿宋_GB2312" w:hAnsi="宋体"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hAnsi="宋体" w:eastAsia="仿宋_GB2312"/>
                <w:sz w:val="18"/>
                <w:szCs w:val="18"/>
              </w:rPr>
            </w:pPr>
            <w:r>
              <w:rPr>
                <w:rFonts w:hint="eastAsia" w:ascii="仿宋_GB2312" w:eastAsia="仿宋_GB2312"/>
                <w:sz w:val="18"/>
                <w:szCs w:val="18"/>
              </w:rPr>
              <w:t>合同当事人</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noWrap w:val="0"/>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6</w:t>
            </w:r>
          </w:p>
        </w:tc>
        <w:tc>
          <w:tcPr>
            <w:tcW w:w="900" w:type="dxa"/>
            <w:vMerge w:val="continue"/>
            <w:noWrap w:val="0"/>
            <w:vAlign w:val="center"/>
          </w:tcPr>
          <w:p>
            <w:pPr>
              <w:jc w:val="center"/>
              <w:rPr>
                <w:rFonts w:hint="eastAsia" w:ascii="仿宋_GB2312" w:hAnsi="宋体" w:eastAsia="仿宋_GB2312"/>
                <w:sz w:val="18"/>
                <w:szCs w:val="18"/>
              </w:rPr>
            </w:pPr>
          </w:p>
        </w:tc>
        <w:tc>
          <w:tcPr>
            <w:tcW w:w="776" w:type="dxa"/>
            <w:noWrap w:val="0"/>
            <w:vAlign w:val="center"/>
          </w:tcPr>
          <w:p>
            <w:pPr>
              <w:rPr>
                <w:rFonts w:hint="eastAsia" w:ascii="仿宋_GB2312" w:hAnsi="宋体" w:eastAsia="仿宋_GB2312"/>
                <w:sz w:val="18"/>
                <w:szCs w:val="18"/>
              </w:rPr>
            </w:pPr>
            <w:r>
              <w:rPr>
                <w:rFonts w:hint="eastAsia" w:ascii="仿宋_GB2312" w:eastAsia="仿宋_GB2312"/>
                <w:sz w:val="18"/>
                <w:szCs w:val="18"/>
              </w:rPr>
              <w:t>合同履行及变更信息</w:t>
            </w:r>
          </w:p>
        </w:tc>
        <w:tc>
          <w:tcPr>
            <w:tcW w:w="3364" w:type="dxa"/>
            <w:noWrap w:val="0"/>
            <w:vAlign w:val="center"/>
          </w:tcPr>
          <w:p>
            <w:pPr>
              <w:rPr>
                <w:rFonts w:hint="eastAsia" w:ascii="仿宋_GB2312" w:hAnsi="宋体" w:eastAsia="仿宋_GB2312"/>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restart"/>
            <w:noWrap w:val="0"/>
            <w:vAlign w:val="center"/>
          </w:tcPr>
          <w:p>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鼓励及时公开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noWrap w:val="0"/>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sz w:val="18"/>
                <w:szCs w:val="18"/>
              </w:rPr>
              <w:t>√</w:t>
            </w:r>
          </w:p>
        </w:tc>
        <w:tc>
          <w:tcPr>
            <w:tcW w:w="900" w:type="dxa"/>
            <w:noWrap w:val="0"/>
            <w:vAlign w:val="center"/>
          </w:tcPr>
          <w:p>
            <w:pPr>
              <w:jc w:val="center"/>
              <w:rPr>
                <w:rFonts w:ascii="仿宋_GB2312" w:hAnsi="宋体" w:eastAsia="仿宋_GB2312"/>
                <w:sz w:val="18"/>
                <w:szCs w:val="18"/>
              </w:rPr>
            </w:pPr>
            <w:r>
              <w:rPr>
                <w:rFonts w:hint="eastAsia"/>
                <w:sz w:val="18"/>
                <w:szCs w:val="18"/>
              </w:rPr>
              <w:t>　</w:t>
            </w:r>
          </w:p>
        </w:tc>
        <w:tc>
          <w:tcPr>
            <w:tcW w:w="788" w:type="dxa"/>
            <w:noWrap w:val="0"/>
            <w:vAlign w:val="center"/>
          </w:tcPr>
          <w:p>
            <w:pPr>
              <w:jc w:val="center"/>
              <w:rPr>
                <w:rFonts w:ascii="仿宋_GB2312" w:hAnsi="宋体" w:eastAsia="仿宋_GB2312"/>
                <w:sz w:val="18"/>
                <w:szCs w:val="18"/>
              </w:rPr>
            </w:pPr>
            <w:r>
              <w:rPr>
                <w:rFonts w:hint="eastAsia"/>
                <w:sz w:val="18"/>
                <w:szCs w:val="18"/>
              </w:rPr>
              <w:t>√</w:t>
            </w:r>
          </w:p>
        </w:tc>
        <w:tc>
          <w:tcPr>
            <w:tcW w:w="900" w:type="dxa"/>
            <w:noWrap w:val="0"/>
            <w:vAlign w:val="center"/>
          </w:tcPr>
          <w:p>
            <w:pP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noWrap w:val="0"/>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7</w:t>
            </w:r>
          </w:p>
        </w:tc>
        <w:tc>
          <w:tcPr>
            <w:tcW w:w="900" w:type="dxa"/>
            <w:vMerge w:val="continue"/>
            <w:noWrap w:val="0"/>
            <w:vAlign w:val="center"/>
          </w:tcPr>
          <w:p>
            <w:pPr>
              <w:jc w:val="center"/>
              <w:rPr>
                <w:rFonts w:hint="eastAsia" w:ascii="仿宋_GB2312" w:hAnsi="宋体" w:eastAsia="仿宋_GB2312" w:cs="宋体"/>
                <w:sz w:val="18"/>
                <w:szCs w:val="18"/>
              </w:rPr>
            </w:pPr>
          </w:p>
        </w:tc>
        <w:tc>
          <w:tcPr>
            <w:tcW w:w="77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资格预审文件、招标文件澄清或修改</w:t>
            </w:r>
          </w:p>
        </w:tc>
        <w:tc>
          <w:tcPr>
            <w:tcW w:w="3364"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Merge w:val="continue"/>
            <w:noWrap w:val="0"/>
            <w:vAlign w:val="center"/>
          </w:tcPr>
          <w:p>
            <w:pPr>
              <w:rPr>
                <w:rFonts w:hint="eastAsia" w:ascii="仿宋_GB2312" w:eastAsia="仿宋_GB2312"/>
                <w:sz w:val="18"/>
                <w:szCs w:val="18"/>
              </w:rPr>
            </w:pP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noWrap w:val="0"/>
            <w:vAlign w:val="center"/>
          </w:tcPr>
          <w:p>
            <w:pPr>
              <w:rPr>
                <w:rFonts w:ascii="Wingdings 2" w:hAnsi="Wingdings 2" w:cs="宋体"/>
                <w:sz w:val="18"/>
                <w:szCs w:val="18"/>
              </w:rPr>
            </w:pPr>
          </w:p>
        </w:tc>
        <w:tc>
          <w:tcPr>
            <w:tcW w:w="720" w:type="dxa"/>
            <w:noWrap w:val="0"/>
            <w:vAlign w:val="center"/>
          </w:tcPr>
          <w:p>
            <w:pPr>
              <w:jc w:val="center"/>
              <w:rPr>
                <w:rFonts w:ascii="宋体" w:hAnsi="宋体" w:cs="宋体"/>
                <w:sz w:val="18"/>
                <w:szCs w:val="18"/>
              </w:rPr>
            </w:pPr>
            <w:r>
              <w:rPr>
                <w:rFonts w:hint="eastAsia" w:ascii="仿宋_GB2312" w:eastAsia="仿宋_GB2312"/>
                <w:sz w:val="18"/>
                <w:szCs w:val="18"/>
              </w:rPr>
              <w:t>√</w:t>
            </w:r>
          </w:p>
        </w:tc>
        <w:tc>
          <w:tcPr>
            <w:tcW w:w="900" w:type="dxa"/>
            <w:noWrap w:val="0"/>
            <w:vAlign w:val="center"/>
          </w:tcPr>
          <w:p>
            <w:pPr>
              <w:rPr>
                <w:rFonts w:ascii="宋体" w:hAnsi="宋体" w:cs="宋体"/>
                <w:sz w:val="18"/>
                <w:szCs w:val="18"/>
              </w:rPr>
            </w:pPr>
            <w:r>
              <w:rPr>
                <w:rFonts w:hint="eastAsia" w:ascii="仿宋_GB2312" w:eastAsia="仿宋_GB2312"/>
                <w:sz w:val="18"/>
                <w:szCs w:val="18"/>
              </w:rPr>
              <w:t>　</w:t>
            </w:r>
          </w:p>
        </w:tc>
        <w:tc>
          <w:tcPr>
            <w:tcW w:w="788" w:type="dxa"/>
            <w:noWrap w:val="0"/>
            <w:vAlign w:val="center"/>
          </w:tcPr>
          <w:p>
            <w:pPr>
              <w:jc w:val="center"/>
              <w:rPr>
                <w:rFonts w:ascii="宋体" w:hAnsi="宋体" w:cs="宋体"/>
                <w:sz w:val="18"/>
                <w:szCs w:val="18"/>
              </w:rPr>
            </w:pPr>
            <w:r>
              <w:rPr>
                <w:rFonts w:hint="eastAsia" w:ascii="仿宋_GB2312" w:eastAsia="仿宋_GB2312"/>
                <w:sz w:val="18"/>
                <w:szCs w:val="18"/>
              </w:rPr>
              <w:t>√</w:t>
            </w:r>
          </w:p>
        </w:tc>
        <w:tc>
          <w:tcPr>
            <w:tcW w:w="900" w:type="dxa"/>
            <w:noWrap w:val="0"/>
            <w:vAlign w:val="center"/>
          </w:tcPr>
          <w:p>
            <w:pPr>
              <w:rPr>
                <w:rFonts w:ascii="宋体" w:hAnsi="宋体" w:cs="宋体"/>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8</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9</w:t>
            </w:r>
          </w:p>
        </w:tc>
        <w:tc>
          <w:tcPr>
            <w:tcW w:w="900" w:type="dxa"/>
            <w:vMerge w:val="restart"/>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noWrap w:val="0"/>
            <w:vAlign w:val="center"/>
          </w:tcPr>
          <w:p>
            <w:pPr>
              <w:rPr>
                <w:rFonts w:ascii="仿宋_GB2312" w:hAnsi="宋体"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rPr>
              <w:t>1</w:t>
            </w:r>
            <w:r>
              <w:rPr>
                <w:rFonts w:hint="eastAsia" w:ascii="仿宋_GB2312" w:eastAsia="仿宋_GB2312"/>
                <w:sz w:val="18"/>
                <w:szCs w:val="18"/>
                <w:lang w:val="en-US" w:eastAsia="zh-CN"/>
              </w:rPr>
              <w:t>0</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vMerge w:val="continue"/>
            <w:noWrap w:val="0"/>
            <w:vAlign w:val="center"/>
          </w:tcPr>
          <w:p>
            <w:pPr>
              <w:spacing w:line="240" w:lineRule="exact"/>
              <w:rPr>
                <w:rFonts w:ascii="仿宋_GB2312" w:eastAsia="仿宋_GB2312"/>
                <w:sz w:val="18"/>
                <w:szCs w:val="18"/>
              </w:rPr>
            </w:pP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11</w:t>
            </w:r>
          </w:p>
        </w:tc>
        <w:tc>
          <w:tcPr>
            <w:tcW w:w="900" w:type="dxa"/>
            <w:noWrap w:val="0"/>
            <w:vAlign w:val="center"/>
          </w:tcPr>
          <w:p>
            <w:pPr>
              <w:jc w:val="center"/>
              <w:rPr>
                <w:rFonts w:hint="eastAsia" w:ascii="仿宋_GB2312" w:eastAsia="仿宋_GB2312"/>
                <w:sz w:val="18"/>
                <w:szCs w:val="18"/>
              </w:rPr>
            </w:pPr>
            <w:r>
              <w:rPr>
                <w:rFonts w:hint="eastAsia" w:ascii="仿宋_GB2312" w:hAnsi="宋体" w:eastAsia="仿宋_GB2312"/>
                <w:sz w:val="18"/>
                <w:szCs w:val="18"/>
              </w:rPr>
              <w:t>工程建设项目招标投标信息</w:t>
            </w:r>
          </w:p>
        </w:tc>
        <w:tc>
          <w:tcPr>
            <w:tcW w:w="776" w:type="dxa"/>
            <w:noWrap w:val="0"/>
            <w:vAlign w:val="center"/>
          </w:tcPr>
          <w:p>
            <w:pPr>
              <w:rPr>
                <w:rFonts w:hint="eastAsia" w:ascii="仿宋_GB2312" w:eastAsia="仿宋_GB2312"/>
                <w:sz w:val="18"/>
                <w:szCs w:val="18"/>
              </w:rPr>
            </w:pPr>
            <w:r>
              <w:rPr>
                <w:rFonts w:hint="eastAsia" w:ascii="仿宋_GB2312" w:hAnsi="宋体" w:eastAsia="仿宋_GB2312"/>
                <w:sz w:val="18"/>
                <w:szCs w:val="18"/>
              </w:rPr>
              <w:t>审批核准信息</w:t>
            </w:r>
          </w:p>
        </w:tc>
        <w:tc>
          <w:tcPr>
            <w:tcW w:w="3364" w:type="dxa"/>
            <w:noWrap w:val="0"/>
            <w:vAlign w:val="center"/>
          </w:tcPr>
          <w:p>
            <w:pPr>
              <w:rPr>
                <w:rFonts w:hint="eastAsia" w:ascii="仿宋_GB2312" w:eastAsia="仿宋_GB2312"/>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noWrap w:val="0"/>
            <w:vAlign w:val="center"/>
          </w:tcPr>
          <w:p>
            <w:pPr>
              <w:rPr>
                <w:rFonts w:hint="eastAsia" w:ascii="仿宋_GB2312" w:eastAsia="仿宋_GB2312"/>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noWrap w:val="0"/>
            <w:vAlign w:val="center"/>
          </w:tcPr>
          <w:p>
            <w:pPr>
              <w:rPr>
                <w:rFonts w:hint="eastAsia" w:ascii="仿宋_GB2312" w:eastAsia="仿宋_GB2312"/>
                <w:sz w:val="18"/>
                <w:szCs w:val="18"/>
              </w:rPr>
            </w:pPr>
            <w:r>
              <w:rPr>
                <w:rFonts w:hint="eastAsia" w:ascii="仿宋_GB2312" w:hAnsi="宋体" w:eastAsia="仿宋_GB2312"/>
                <w:sz w:val="18"/>
                <w:szCs w:val="18"/>
              </w:rPr>
              <w:t>信息形成之日起20个工作日内</w:t>
            </w:r>
          </w:p>
        </w:tc>
        <w:tc>
          <w:tcPr>
            <w:tcW w:w="956" w:type="dxa"/>
            <w:noWrap w:val="0"/>
            <w:vAlign w:val="center"/>
          </w:tcPr>
          <w:p>
            <w:pPr>
              <w:rPr>
                <w:rFonts w:hint="eastAsia" w:ascii="仿宋_GB2312" w:eastAsia="仿宋_GB2312"/>
                <w:sz w:val="18"/>
                <w:szCs w:val="18"/>
              </w:rPr>
            </w:pPr>
            <w:r>
              <w:rPr>
                <w:rFonts w:hint="eastAsia" w:ascii="仿宋_GB2312" w:hAnsi="宋体" w:eastAsia="仿宋_GB2312"/>
                <w:sz w:val="18"/>
                <w:szCs w:val="18"/>
                <w:lang w:val="en-US" w:eastAsia="zh-CN"/>
              </w:rPr>
              <w:t>廉江市发展和改革局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eastAsia="仿宋_GB2312"/>
                <w:sz w:val="18"/>
                <w:szCs w:val="18"/>
              </w:rPr>
            </w:pPr>
            <w:r>
              <w:rPr>
                <w:rFonts w:hint="eastAsia" w:ascii="仿宋_GB2312" w:hAnsi="宋体" w:eastAsia="仿宋_GB2312"/>
                <w:sz w:val="18"/>
                <w:szCs w:val="18"/>
              </w:rPr>
              <w:t>■投资项目在线审批监管平台</w:t>
            </w:r>
          </w:p>
        </w:tc>
        <w:tc>
          <w:tcPr>
            <w:tcW w:w="720" w:type="dxa"/>
            <w:noWrap w:val="0"/>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12</w:t>
            </w:r>
          </w:p>
        </w:tc>
        <w:tc>
          <w:tcPr>
            <w:tcW w:w="900" w:type="dxa"/>
            <w:vMerge w:val="restart"/>
            <w:noWrap w:val="0"/>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招标公告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13</w:t>
            </w:r>
          </w:p>
          <w:p>
            <w:pPr>
              <w:jc w:val="center"/>
              <w:rPr>
                <w:rFonts w:hint="eastAsia" w:ascii="仿宋_GB2312" w:eastAsia="仿宋_GB2312"/>
                <w:sz w:val="18"/>
                <w:szCs w:val="18"/>
              </w:rPr>
            </w:pP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资格预审公告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14</w:t>
            </w:r>
          </w:p>
        </w:tc>
        <w:tc>
          <w:tcPr>
            <w:tcW w:w="900" w:type="dxa"/>
            <w:vMerge w:val="restart"/>
            <w:noWrap w:val="0"/>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15</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noWrap w:val="0"/>
            <w:vAlign w:val="center"/>
          </w:tcPr>
          <w:p>
            <w:pPr>
              <w:rPr>
                <w:rFonts w:ascii="仿宋_GB2312" w:eastAsia="仿宋_GB2312"/>
                <w:sz w:val="18"/>
                <w:szCs w:val="18"/>
              </w:rPr>
            </w:pP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16</w:t>
            </w:r>
          </w:p>
        </w:tc>
        <w:tc>
          <w:tcPr>
            <w:tcW w:w="900" w:type="dxa"/>
            <w:vMerge w:val="restart"/>
            <w:noWrap w:val="0"/>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采购文件</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17</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采购信息更正公告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18</w:t>
            </w:r>
          </w:p>
        </w:tc>
        <w:tc>
          <w:tcPr>
            <w:tcW w:w="900" w:type="dxa"/>
            <w:vMerge w:val="restart"/>
            <w:noWrap w:val="0"/>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单一来源公示</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19</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集中采购机构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spacing w:line="240" w:lineRule="exact"/>
              <w:jc w:val="center"/>
              <w:rPr>
                <w:rFonts w:hint="eastAsia" w:ascii="仿宋_GB2312"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20</w:t>
            </w:r>
          </w:p>
        </w:tc>
        <w:tc>
          <w:tcPr>
            <w:tcW w:w="900" w:type="dxa"/>
            <w:vMerge w:val="restart"/>
            <w:noWrap w:val="0"/>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中标、成交结果</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21</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采购合同</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spacing w:line="240" w:lineRule="exact"/>
              <w:jc w:val="center"/>
              <w:rPr>
                <w:rFonts w:hint="eastAsia" w:ascii="仿宋_GB2312"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22</w:t>
            </w:r>
          </w:p>
        </w:tc>
        <w:tc>
          <w:tcPr>
            <w:tcW w:w="900" w:type="dxa"/>
            <w:vMerge w:val="restart"/>
            <w:noWrap w:val="0"/>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终止公告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23</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24</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采购人</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r>
              <w:rPr>
                <w:rFonts w:ascii="仿宋_GB2312" w:hAnsi="宋体" w:eastAsia="仿宋_GB2312"/>
                <w:sz w:val="18"/>
                <w:szCs w:val="18"/>
              </w:rPr>
              <w:br w:type="textWrapping"/>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《国务院办公厅关于推进公共资源配置领域政府信息公开的意见》、《财政部关于做好政府采购信息公开工作的通知》、《广东省财政厅关于做好我省政府采购信息公开工作的通知》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noWrap w:val="0"/>
            <w:vAlign w:val="center"/>
          </w:tcPr>
          <w:p>
            <w:pPr>
              <w:rPr>
                <w:rFonts w:hint="eastAsia" w:ascii="仿宋_GB2312" w:eastAsia="仿宋_GB2312"/>
                <w:sz w:val="18"/>
                <w:szCs w:val="18"/>
              </w:rPr>
            </w:pPr>
            <w:r>
              <w:rPr>
                <w:rFonts w:hint="eastAsia" w:ascii="仿宋_GB2312" w:eastAsia="仿宋_GB2312"/>
                <w:sz w:val="18"/>
                <w:szCs w:val="18"/>
              </w:rPr>
              <w:t>廉江市财政局</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(广东省政府采购网)</w:t>
            </w:r>
            <w:r>
              <w:rPr>
                <w:rFonts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26</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国有土地使用权出让信息</w:t>
            </w: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土地出让计划</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明确国有建设用地供应指导思想和原则；提出国有建设用地供应政策导向；确定国有建设用地供应总量、结构、布局、时序和方式；落实计划供应的宗地；实施计划的保障措施。</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《国务院办公厅关于推进公共资源配置领域政府信息公开的意见》、《招标拍卖挂牌出让国有建设用地使用权规定》、《国有建设用地供应计划编制规范》（试行）</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每年3月31日前，公布年度国有建设用地供应计划</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廉江市自然资源局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各级自然资源管理部门网站</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27</w:t>
            </w:r>
          </w:p>
        </w:tc>
        <w:tc>
          <w:tcPr>
            <w:tcW w:w="900" w:type="dxa"/>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招标拍卖挂牌出让公告</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《国务院办公厅关于推进公共资源配置领域政府信息公开的意见》、《招标拍卖挂牌出让国有建设用地使用权规定》</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至少在投标、拍卖或者挂牌开始日前20日。挂牌时间不得少于10日</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廉江市自然资源局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土地有形市场或者指定的场所、媒介（一般指中国土地市场网、当地政府媒介）</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28</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国有土地使用权出让信息</w:t>
            </w: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公告调整</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公开国有建设用地使用权出让公告、项目概况、澄清或者修改事项、联系方式。</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《招标拍卖挂牌出让国有土地使用权规范》</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按原公告发布渠道及时发布补充公告，涉及土地使用条件变更等影响土地价格的重大变动，补充公告发布时间距招拍挂活动开始时间少于20日的，招拍挂活动相应顺延</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廉江市自然资源局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中国土地市场网或者土地有形市场等指定场所</w:t>
            </w:r>
            <w:r>
              <w:rPr>
                <w:rFonts w:ascii="仿宋_GB2312" w:eastAsia="仿宋_GB2312"/>
                <w:color w:val="000000"/>
                <w:sz w:val="18"/>
                <w:szCs w:val="18"/>
                <w:highlight w:val="none"/>
              </w:rPr>
              <w:br w:type="textWrapping"/>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29</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招标拍卖挂牌出让结果（成交公示）</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土地位置、面积、用途、开发程度、土地级别、容积率、出让年限、供地方式、受让人、成交价格和成交时间等。</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《国务院办公厅关于推进公共资源配置领域政府信息公开的意见》、《招标拍卖挂牌出让国有建设用地使用权规定》、《招标拍卖挂牌出让国有土地使用权规范》</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招标拍卖挂牌活动结束后的10个工作日内</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廉江市自然资源局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土地有形市场或者指定的场所、媒介（一般指中国土地市场网、当地政府媒介）</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30</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供应结果</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国有建设用地使用权年度供应结果。</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及时公开</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廉江市自然资源局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各级自然资源管理部门网站</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31</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国有土地使用权出让信息</w:t>
            </w: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公告调整</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公开国有建设用地使用权出让公告、项目概况、澄清或者修改事项、联系方式。</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《招标拍卖挂牌出让国有土地使用权规范》</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按原公告发布渠道及时发布补充公告，涉及土地使用条件变更等影响土地价格的重大变动，补充公告发布时间距招拍挂活动开始时间少于20日的，招拍挂活动相应顺延</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中国土地市场网或者土地有形市场等指定场所</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32</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招标拍卖挂牌出让结果（成交公示）</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土地位置、面积、用途、开发程度、土地级别、容积率、出让年限、供地方式、受让人、成交价格和成交时间等。</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《国务院办公厅关于推进公共资源配置领域政府信息公开的意见》、《招标拍卖挂牌出让国有建设用地使用权规定》、《招标拍卖挂牌出让国有土地使用权规范》</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招标拍卖挂牌活动结束后的10个工作日内</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土地有形市场或者指定的场所、媒介（一般指中国土地市场网、当地政府媒介）</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33</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供应结果</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国有建设用地使用权年度供应结果。</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及时公开</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各级自然资源管理部门网站</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34</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国有土地使用权出让信息</w:t>
            </w: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招标拍卖挂牌出让公告</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《国务院办公厅关于推进公共资源配置领域政府信息公开的意见》、国土资源部关于印发矿业权交易规则》的通知、《自然资源部关于调整&lt;矿业权交易规则&gt;有关规定的通知》</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在投标截止日、公开拍卖日或者挂牌起始日20个工作日前发布。挂牌时间不得少于10个工作日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廉江市自然资源局</w:t>
            </w:r>
          </w:p>
        </w:tc>
        <w:tc>
          <w:tcPr>
            <w:tcW w:w="1856" w:type="dxa"/>
            <w:noWrap w:val="0"/>
            <w:vAlign w:val="center"/>
          </w:tcPr>
          <w:p>
            <w:pPr>
              <w:rPr>
                <w:rFonts w:hint="eastAsia" w:ascii="仿宋_GB2312" w:eastAsia="仿宋_GB2312"/>
                <w:color w:val="000000"/>
                <w:sz w:val="18"/>
                <w:szCs w:val="18"/>
                <w:highlight w:val="none"/>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r>
              <w:rPr>
                <w:rFonts w:hint="eastAsia" w:ascii="仿宋_GB2312" w:eastAsia="仿宋_GB2312"/>
                <w:color w:val="000000"/>
                <w:sz w:val="18"/>
                <w:szCs w:val="18"/>
                <w:highlight w:val="none"/>
              </w:rPr>
              <w:br w:type="textWrapping"/>
            </w:r>
            <w:r>
              <w:rPr>
                <w:rFonts w:hint="eastAsia" w:ascii="仿宋_GB2312" w:eastAsia="仿宋_GB2312"/>
                <w:color w:val="000000"/>
                <w:sz w:val="18"/>
                <w:szCs w:val="18"/>
                <w:highlight w:val="none"/>
              </w:rPr>
              <w:t>在下列平台同时发布：</w:t>
            </w:r>
          </w:p>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自然资源部门户网站</w:t>
            </w:r>
            <w:r>
              <w:rPr>
                <w:rFonts w:hint="eastAsia"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同级自然资源主管部门门户网站</w:t>
            </w:r>
            <w:r>
              <w:rPr>
                <w:rFonts w:hint="eastAsia" w:ascii="仿宋_GB2312" w:eastAsia="仿宋_GB2312"/>
                <w:color w:val="000000"/>
                <w:sz w:val="18"/>
                <w:szCs w:val="18"/>
                <w:highlight w:val="none"/>
              </w:rPr>
              <w:br w:type="textWrapping"/>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35</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招标拍卖挂牌成交结果公示</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《国务院办公厅关于推进公共资源配置领域政府信息公开的意见》、国土资源部关于印发矿业权交易规则》的通知</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发出中标通知书或者签订成交确认书后5个工作日内进行信息公示。公示期不少于10个工作日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廉江市自然资源</w:t>
            </w:r>
            <w:r>
              <w:rPr>
                <w:rFonts w:hint="eastAsia" w:ascii="仿宋_GB2312" w:eastAsia="仿宋_GB2312"/>
                <w:color w:val="000000"/>
                <w:sz w:val="18"/>
                <w:szCs w:val="18"/>
                <w:highlight w:val="none"/>
                <w:shd w:val="clear" w:color="auto" w:fill="auto"/>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r>
              <w:rPr>
                <w:rFonts w:ascii="仿宋_GB2312" w:eastAsia="仿宋_GB2312"/>
                <w:color w:val="000000"/>
                <w:sz w:val="18"/>
                <w:szCs w:val="18"/>
                <w:highlight w:val="none"/>
              </w:rPr>
              <w:br w:type="textWrapping"/>
            </w:r>
            <w:r>
              <w:rPr>
                <w:rFonts w:hint="eastAsia" w:ascii="仿宋_GB2312" w:eastAsia="仿宋_GB2312"/>
                <w:color w:val="000000"/>
                <w:sz w:val="18"/>
                <w:szCs w:val="18"/>
                <w:highlight w:val="none"/>
              </w:rPr>
              <w:t>在下列平台同时发布：</w:t>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自然资源部门户网站</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同级自然资源主管部门门户网站</w:t>
            </w:r>
            <w:r>
              <w:rPr>
                <w:rFonts w:ascii="仿宋_GB2312" w:eastAsia="仿宋_GB2312"/>
                <w:color w:val="000000"/>
                <w:sz w:val="18"/>
                <w:szCs w:val="18"/>
                <w:highlight w:val="none"/>
              </w:rPr>
              <w:br w:type="textWrapping"/>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36</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矿业权出让信息</w:t>
            </w: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审批结果信息</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每个项目的审批结果信息（交易完成后由各级自然资源管理部门审批）。</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《政府信息公开条例》、《国务院办公厅关于推进公共资源配置领域政府信息公开的意见》</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信息形成之日起20个工作日内</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廉江市自然资源局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各级自然资源管理部门网站</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37</w:t>
            </w:r>
          </w:p>
        </w:tc>
        <w:tc>
          <w:tcPr>
            <w:tcW w:w="900" w:type="dxa"/>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项目信息</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公告有效期内矿业权基本信息包括矿业权名称、许可证号、矿业权人、矿种、有效期限。</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《政府信息公开条例》、《国务院办公厅关于推进公共资源配置领域政府信息公开的意见》</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每年一季度集中公告</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廉江市自然资源局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各级自然资源管理部门网站</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38</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国有产权交易信息</w:t>
            </w: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国有企业产权转让信息预披露</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及时公开，正式披露信息时间不得少于20个工作日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产权交易机构网站</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39</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国有产权交易信息</w:t>
            </w: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国有企业产权转让信息披露</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及时公开，正式披露信息时间不得少于20个工作日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产权交易机构网站</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40</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国有企业产权转让成交公告</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交易标的名称、转让标的评估结果、转让底价、交易价格。</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及时公开，公告期不少于5个工作日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产权交易机构网站</w:t>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41</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国有企业资产转让信息披露</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标的基本情况、交易条件、转让底价、竞价方式、受让方选择的相关评判标准等。</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转让底价高于100万元、低于1000万元的资产转让项目，信息公告期应不少于10个工作日；转让底价高于1000万元的资产转让项目，信息公告期应不少于20个工作日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产权交易机构网站</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42</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国有企业资产转</w:t>
            </w:r>
            <w:bookmarkStart w:id="1" w:name="_GoBack"/>
            <w:bookmarkEnd w:id="1"/>
            <w:r>
              <w:rPr>
                <w:rFonts w:hint="eastAsia" w:ascii="仿宋_GB2312" w:eastAsia="仿宋_GB2312"/>
                <w:color w:val="000000"/>
                <w:sz w:val="18"/>
                <w:szCs w:val="18"/>
                <w:highlight w:val="none"/>
              </w:rPr>
              <w:t>让成交公告</w:t>
            </w:r>
          </w:p>
        </w:tc>
        <w:tc>
          <w:tcPr>
            <w:tcW w:w="3364"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交易标的名称、评估价格、转让底价、交易价格等。</w:t>
            </w:r>
          </w:p>
        </w:tc>
        <w:tc>
          <w:tcPr>
            <w:tcW w:w="234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不少于5个工作日</w:t>
            </w:r>
          </w:p>
        </w:tc>
        <w:tc>
          <w:tcPr>
            <w:tcW w:w="956"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lang w:eastAsia="zh-CN"/>
              </w:rPr>
              <w:t>廉江市</w:t>
            </w:r>
            <w:r>
              <w:rPr>
                <w:rFonts w:hint="eastAsia" w:ascii="仿宋_GB2312" w:eastAsia="仿宋_GB2312"/>
                <w:color w:val="000000"/>
                <w:sz w:val="18"/>
                <w:szCs w:val="18"/>
                <w:highlight w:val="none"/>
              </w:rPr>
              <w:t>自然资源</w:t>
            </w:r>
            <w:r>
              <w:rPr>
                <w:rFonts w:hint="eastAsia" w:ascii="仿宋_GB2312" w:eastAsia="仿宋_GB2312"/>
                <w:color w:val="000000"/>
                <w:sz w:val="18"/>
                <w:szCs w:val="18"/>
                <w:highlight w:val="none"/>
                <w:lang w:eastAsia="zh-CN"/>
              </w:rPr>
              <w:t>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产权交易机构网站</w:t>
            </w:r>
            <w:r>
              <w:rPr>
                <w:rFonts w:ascii="仿宋_GB2312" w:eastAsia="仿宋_GB2312"/>
                <w:color w:val="000000"/>
                <w:sz w:val="18"/>
                <w:szCs w:val="18"/>
                <w:highlight w:val="none"/>
              </w:rPr>
              <w:br w:type="textWrapping"/>
            </w:r>
            <w:r>
              <w:rPr>
                <w:rFonts w:hint="eastAsia" w:ascii="仿宋_GB2312" w:hAnsi="宋体" w:eastAsia="仿宋_GB2312"/>
                <w:color w:val="000000"/>
                <w:sz w:val="18"/>
                <w:szCs w:val="18"/>
                <w:highlight w:val="none"/>
              </w:rPr>
              <w:t>■</w:t>
            </w:r>
            <w:r>
              <w:rPr>
                <w:rFonts w:hint="eastAsia" w:ascii="仿宋_GB2312" w:eastAsia="仿宋_GB2312"/>
                <w:color w:val="000000"/>
                <w:sz w:val="18"/>
                <w:szCs w:val="18"/>
                <w:highlight w:val="none"/>
              </w:rPr>
              <w:t>公共资源交易平台</w:t>
            </w:r>
          </w:p>
        </w:tc>
        <w:tc>
          <w:tcPr>
            <w:tcW w:w="720"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c>
          <w:tcPr>
            <w:tcW w:w="788" w:type="dxa"/>
            <w:noWrap w:val="0"/>
            <w:vAlign w:val="center"/>
          </w:tcPr>
          <w:p>
            <w:pPr>
              <w:jc w:val="center"/>
              <w:rPr>
                <w:rFonts w:hint="eastAsia" w:ascii="仿宋_GB2312" w:eastAsia="仿宋_GB2312"/>
                <w:sz w:val="18"/>
                <w:szCs w:val="18"/>
              </w:rPr>
            </w:pPr>
            <w:r>
              <w:rPr>
                <w:rFonts w:hint="eastAsia" w:ascii="仿宋_GB2312" w:eastAsia="仿宋_GB2312"/>
                <w:color w:val="000000"/>
                <w:sz w:val="18"/>
                <w:szCs w:val="18"/>
                <w:highlight w:val="none"/>
              </w:rPr>
              <w:t>√</w:t>
            </w:r>
          </w:p>
        </w:tc>
        <w:tc>
          <w:tcPr>
            <w:tcW w:w="900" w:type="dxa"/>
            <w:noWrap w:val="0"/>
            <w:vAlign w:val="center"/>
          </w:tcPr>
          <w:p>
            <w:pPr>
              <w:rPr>
                <w:rFonts w:hint="eastAsia" w:ascii="仿宋_GB2312" w:eastAsia="仿宋_GB2312"/>
                <w:sz w:val="18"/>
                <w:szCs w:val="18"/>
              </w:rPr>
            </w:pPr>
            <w:r>
              <w:rPr>
                <w:rFonts w:hint="eastAsia" w:ascii="仿宋_GB2312" w:eastAsia="仿宋_GB2312"/>
                <w:color w:val="000000"/>
                <w:sz w:val="18"/>
                <w:szCs w:val="18"/>
                <w:highlight w:val="none"/>
              </w:rPr>
              <w:t>　</w:t>
            </w:r>
          </w:p>
        </w:tc>
      </w:tr>
    </w:tbl>
    <w:p>
      <w:pPr>
        <w:rPr>
          <w:rFonts w:ascii="仿宋_GB2312" w:eastAsia="仿宋_GB2312"/>
          <w:sz w:val="18"/>
          <w:szCs w:val="18"/>
        </w:rPr>
      </w:pPr>
    </w:p>
    <w:p>
      <w:pPr>
        <w:jc w:val="center"/>
        <w:rPr>
          <w:rFonts w:hint="eastAsia" w:ascii="Times New Roman" w:hAnsi="Times New Roman" w:eastAsia="方正小标宋_GBK"/>
          <w:sz w:val="30"/>
          <w:szCs w:val="30"/>
        </w:rPr>
      </w:pPr>
    </w:p>
    <w:p>
      <w:pPr>
        <w:jc w:val="center"/>
        <w:rPr>
          <w:rFonts w:hint="eastAsia" w:ascii="Times New Roman" w:hAnsi="Times New Roman" w:eastAsia="方正小标宋_GBK"/>
          <w:sz w:val="30"/>
          <w:szCs w:val="3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C3289"/>
    <w:rsid w:val="013924F9"/>
    <w:rsid w:val="08A106F6"/>
    <w:rsid w:val="388A7146"/>
    <w:rsid w:val="463D147A"/>
    <w:rsid w:val="5E7C3289"/>
    <w:rsid w:val="658E1326"/>
    <w:rsid w:val="73D2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2020-08-20T07:33:00Z</dcterms:created>
  <dc:creator>春节快乐</dc:creator>
  <cp:lastModifiedBy>江雪</cp:lastModifiedBy>
  <dcterms:modified xsi:type="dcterms:W3CDTF">2020-12-17T10:07:40Z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