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rPr>
        <w:t>（三）义务教育领域基层政务公开标准目录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hint="eastAsia" w:ascii="黑体" w:hAnsi="Times New Roman" w:eastAsia="黑体"/>
                <w:color w:val="000000"/>
                <w:kern w:val="0"/>
                <w:sz w:val="22"/>
              </w:rPr>
            </w:pP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pPr>
              <w:widowControl/>
              <w:jc w:val="left"/>
              <w:rPr>
                <w:rFonts w:hint="eastAsia" w:ascii="黑体" w:hAnsi="宋体" w:eastAsia="黑体" w:cs="宋体"/>
                <w:kern w:val="0"/>
                <w:sz w:val="22"/>
              </w:rPr>
            </w:pP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540" w:type="dxa"/>
            <w:vMerge w:val="restart"/>
            <w:shd w:val="clear" w:color="auto" w:fill="auto"/>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政策文件</w:t>
            </w:r>
          </w:p>
        </w:tc>
        <w:tc>
          <w:tcPr>
            <w:tcW w:w="900" w:type="dxa"/>
            <w:shd w:val="clear" w:color="auto" w:fill="auto"/>
            <w:noWrap w:val="0"/>
            <w:vAlign w:val="center"/>
          </w:tcPr>
          <w:p>
            <w:pPr>
              <w:rPr>
                <w:rFonts w:hint="eastAsia" w:ascii="仿宋_GB2312" w:hAnsi="宋体" w:eastAsia="仿宋_GB2312" w:cs="宋体"/>
                <w:color w:val="auto"/>
                <w:kern w:val="2"/>
                <w:sz w:val="18"/>
                <w:szCs w:val="18"/>
                <w:highlight w:val="none"/>
                <w:lang w:val="en-US" w:eastAsia="zh-CN" w:bidi="ar-SA"/>
              </w:rPr>
            </w:pPr>
            <w:r>
              <w:rPr>
                <w:rFonts w:hint="eastAsia" w:ascii="仿宋_GB2312" w:hAnsi="宋体" w:eastAsia="仿宋_GB2312"/>
                <w:color w:val="auto"/>
                <w:sz w:val="18"/>
                <w:szCs w:val="18"/>
                <w:highlight w:val="none"/>
              </w:rPr>
              <w:t>教育法律</w:t>
            </w:r>
          </w:p>
        </w:tc>
        <w:tc>
          <w:tcPr>
            <w:tcW w:w="2340" w:type="dxa"/>
            <w:shd w:val="clear" w:color="auto" w:fill="auto"/>
            <w:noWrap w:val="0"/>
            <w:vAlign w:val="center"/>
          </w:tcPr>
          <w:p>
            <w:pPr>
              <w:rPr>
                <w:rFonts w:hint="eastAsia" w:ascii="仿宋_GB2312" w:hAnsi="宋体" w:eastAsia="仿宋_GB2312" w:cs="宋体"/>
                <w:color w:val="auto"/>
                <w:kern w:val="2"/>
                <w:sz w:val="18"/>
                <w:szCs w:val="18"/>
                <w:highlight w:val="none"/>
                <w:lang w:val="en-US" w:eastAsia="zh-CN" w:bidi="ar-SA"/>
              </w:rPr>
            </w:pPr>
            <w:r>
              <w:rPr>
                <w:rFonts w:hint="eastAsia" w:ascii="仿宋_GB2312" w:hAnsi="宋体" w:eastAsia="仿宋_GB2312"/>
                <w:color w:val="auto"/>
                <w:sz w:val="18"/>
                <w:szCs w:val="18"/>
                <w:highlight w:val="none"/>
              </w:rPr>
              <w:t>《教育法》、《义务教育法》、《民办教育促进法》、《教师法》、《国家通用语言文字法》</w:t>
            </w:r>
          </w:p>
        </w:tc>
        <w:tc>
          <w:tcPr>
            <w:tcW w:w="2520" w:type="dxa"/>
            <w:shd w:val="clear" w:color="auto" w:fill="auto"/>
            <w:noWrap w:val="0"/>
            <w:vAlign w:val="center"/>
          </w:tcPr>
          <w:p>
            <w:pPr>
              <w:rPr>
                <w:rFonts w:hint="eastAsia" w:ascii="仿宋_GB2312" w:hAnsi="宋体" w:eastAsia="仿宋_GB2312" w:cs="宋体"/>
                <w:color w:val="auto"/>
                <w:kern w:val="2"/>
                <w:sz w:val="18"/>
                <w:szCs w:val="18"/>
                <w:highlight w:val="none"/>
                <w:lang w:val="en-US" w:eastAsia="zh-CN" w:bidi="ar-SA"/>
              </w:rPr>
            </w:pPr>
            <w:r>
              <w:rPr>
                <w:rFonts w:hint="eastAsia" w:ascii="仿宋_GB2312" w:hAnsi="宋体" w:eastAsia="仿宋_GB2312"/>
                <w:color w:val="auto"/>
                <w:sz w:val="18"/>
                <w:szCs w:val="18"/>
                <w:highlight w:val="none"/>
              </w:rPr>
              <w:t>《政府信息公开条例》</w:t>
            </w:r>
          </w:p>
        </w:tc>
        <w:tc>
          <w:tcPr>
            <w:tcW w:w="1620" w:type="dxa"/>
            <w:shd w:val="clear" w:color="auto" w:fill="auto"/>
            <w:noWrap w:val="0"/>
            <w:vAlign w:val="center"/>
          </w:tcPr>
          <w:p>
            <w:pP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信息形成或者变更之日起20个工作日内</w:t>
            </w:r>
          </w:p>
        </w:tc>
        <w:tc>
          <w:tcPr>
            <w:tcW w:w="900" w:type="dxa"/>
            <w:shd w:val="clear" w:color="auto" w:fill="auto"/>
            <w:noWrap w:val="0"/>
            <w:vAlign w:val="center"/>
          </w:tcPr>
          <w:p>
            <w:pPr>
              <w:jc w:val="center"/>
              <w:rPr>
                <w:rFonts w:hint="default"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lang w:eastAsia="zh-CN"/>
              </w:rPr>
              <w:t>廉江市教育局</w:t>
            </w:r>
          </w:p>
        </w:tc>
        <w:tc>
          <w:tcPr>
            <w:tcW w:w="2160" w:type="dxa"/>
            <w:shd w:val="clear" w:color="auto" w:fill="auto"/>
            <w:noWrap w:val="0"/>
            <w:vAlign w:val="center"/>
          </w:tcPr>
          <w:p>
            <w:pP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 xml:space="preserve">■政府网站  </w:t>
            </w:r>
          </w:p>
        </w:tc>
        <w:tc>
          <w:tcPr>
            <w:tcW w:w="540" w:type="dxa"/>
            <w:shd w:val="clear" w:color="auto" w:fill="auto"/>
            <w:noWrap/>
            <w:vAlign w:val="center"/>
          </w:tcPr>
          <w:p>
            <w:pPr>
              <w:jc w:val="cente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w:t>
            </w:r>
          </w:p>
        </w:tc>
        <w:tc>
          <w:tcPr>
            <w:tcW w:w="720" w:type="dxa"/>
            <w:gridSpan w:val="2"/>
            <w:shd w:val="clear" w:color="auto" w:fill="auto"/>
            <w:noWrap/>
            <w:vAlign w:val="center"/>
          </w:tcPr>
          <w:p>
            <w:pPr>
              <w:jc w:val="cente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　</w:t>
            </w:r>
          </w:p>
        </w:tc>
        <w:tc>
          <w:tcPr>
            <w:tcW w:w="540" w:type="dxa"/>
            <w:shd w:val="clear" w:color="auto" w:fill="auto"/>
            <w:noWrap/>
            <w:vAlign w:val="center"/>
          </w:tcPr>
          <w:p>
            <w:pPr>
              <w:jc w:val="cente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w:t>
            </w:r>
          </w:p>
        </w:tc>
        <w:tc>
          <w:tcPr>
            <w:tcW w:w="720" w:type="dxa"/>
            <w:shd w:val="clear" w:color="auto" w:fill="auto"/>
            <w:noWrap/>
            <w:vAlign w:val="center"/>
          </w:tcPr>
          <w:p>
            <w:pPr>
              <w:jc w:val="cente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　</w:t>
            </w:r>
          </w:p>
        </w:tc>
        <w:tc>
          <w:tcPr>
            <w:tcW w:w="720" w:type="dxa"/>
            <w:shd w:val="clear" w:color="auto" w:fill="auto"/>
            <w:noWrap/>
            <w:vAlign w:val="center"/>
          </w:tcPr>
          <w:p>
            <w:pPr>
              <w:jc w:val="cente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w:t>
            </w:r>
          </w:p>
        </w:tc>
        <w:tc>
          <w:tcPr>
            <w:tcW w:w="720" w:type="dxa"/>
            <w:shd w:val="clear" w:color="auto" w:fill="auto"/>
            <w:noWrap/>
            <w:vAlign w:val="center"/>
          </w:tcPr>
          <w:p>
            <w:pPr>
              <w:jc w:val="center"/>
              <w:rPr>
                <w:rFonts w:hint="eastAsia" w:ascii="仿宋_GB2312" w:hAnsi="仿宋" w:eastAsia="仿宋_GB2312" w:cs="宋体"/>
                <w:color w:val="auto"/>
                <w:kern w:val="2"/>
                <w:sz w:val="18"/>
                <w:szCs w:val="18"/>
                <w:highlight w:val="none"/>
                <w:lang w:val="en-US" w:eastAsia="zh-CN" w:bidi="ar-SA"/>
              </w:rPr>
            </w:pPr>
            <w:r>
              <w:rPr>
                <w:rFonts w:hint="eastAsia" w:ascii="仿宋_GB2312" w:hAnsi="仿宋"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40" w:type="dxa"/>
            <w:vMerge w:val="continue"/>
            <w:shd w:val="clear" w:color="auto" w:fill="auto"/>
            <w:noWrap w:val="0"/>
            <w:vAlign w:val="center"/>
          </w:tcPr>
          <w:p>
            <w:pPr>
              <w:jc w:val="center"/>
            </w:pPr>
          </w:p>
        </w:tc>
        <w:tc>
          <w:tcPr>
            <w:tcW w:w="540" w:type="dxa"/>
            <w:vMerge w:val="continue"/>
            <w:shd w:val="clear" w:color="auto" w:fill="auto"/>
            <w:noWrap w:val="0"/>
            <w:vAlign w:val="center"/>
          </w:tcPr>
          <w:p>
            <w:pPr>
              <w:jc w:val="center"/>
            </w:pPr>
          </w:p>
        </w:tc>
        <w:tc>
          <w:tcPr>
            <w:tcW w:w="900" w:type="dxa"/>
            <w:shd w:val="clear" w:color="auto" w:fill="auto"/>
            <w:noWrap w:val="0"/>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规范性文件</w:t>
            </w:r>
          </w:p>
        </w:tc>
        <w:tc>
          <w:tcPr>
            <w:tcW w:w="2340" w:type="dxa"/>
            <w:shd w:val="clear" w:color="auto" w:fill="auto"/>
            <w:noWrap w:val="0"/>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部门和地方政府规章、各类教育政策文件</w:t>
            </w:r>
          </w:p>
        </w:tc>
        <w:tc>
          <w:tcPr>
            <w:tcW w:w="2520" w:type="dxa"/>
            <w:shd w:val="clear" w:color="auto" w:fill="auto"/>
            <w:noWrap w:val="0"/>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shd w:val="clear" w:color="auto" w:fill="auto"/>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noWrap/>
            <w:vAlign w:val="center"/>
          </w:tcPr>
          <w:p>
            <w:pPr>
              <w:rPr>
                <w:rFonts w:hint="eastAsia" w:ascii="仿宋_GB2312" w:hAnsi="宋体" w:eastAsia="仿宋_GB2312"/>
                <w:color w:val="C00000"/>
                <w:sz w:val="18"/>
                <w:szCs w:val="18"/>
              </w:rPr>
            </w:pPr>
            <w:r>
              <w:rPr>
                <w:rFonts w:hint="eastAsia" w:ascii="仿宋_GB2312" w:hAnsi="宋体" w:eastAsia="仿宋_GB2312"/>
                <w:color w:val="C00000"/>
                <w:sz w:val="18"/>
                <w:szCs w:val="18"/>
                <w:highlight w:val="none"/>
              </w:rPr>
              <w:t>学校介绍</w:t>
            </w:r>
          </w:p>
        </w:tc>
        <w:tc>
          <w:tcPr>
            <w:tcW w:w="2340" w:type="dxa"/>
            <w:shd w:val="clear" w:color="auto" w:fill="auto"/>
            <w:noWrap w:val="0"/>
            <w:vAlign w:val="center"/>
          </w:tcPr>
          <w:p>
            <w:pPr>
              <w:rPr>
                <w:rFonts w:hint="eastAsia" w:ascii="仿宋_GB2312" w:hAnsi="宋体" w:eastAsia="仿宋_GB2312" w:cs="宋体"/>
                <w:color w:val="C00000"/>
                <w:sz w:val="18"/>
                <w:szCs w:val="18"/>
              </w:rPr>
            </w:pPr>
            <w:r>
              <w:rPr>
                <w:rFonts w:hint="eastAsia" w:ascii="仿宋_GB2312" w:hAnsi="宋体" w:eastAsia="仿宋_GB2312"/>
                <w:color w:val="C00000"/>
                <w:sz w:val="18"/>
                <w:szCs w:val="18"/>
                <w:highlight w:val="none"/>
              </w:rPr>
              <w:t>办学性质、办学地点、办学规模、办学基本条件、联系方式等</w:t>
            </w:r>
          </w:p>
        </w:tc>
        <w:tc>
          <w:tcPr>
            <w:tcW w:w="2520" w:type="dxa"/>
            <w:vMerge w:val="restart"/>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lang w:val="en-US" w:eastAsia="zh-CN"/>
              </w:rPr>
              <w:t>廉江市</w:t>
            </w:r>
            <w:r>
              <w:rPr>
                <w:rFonts w:hint="eastAsia" w:ascii="仿宋_GB2312" w:hAnsi="仿宋" w:eastAsia="仿宋_GB2312"/>
                <w:color w:val="C00000"/>
                <w:sz w:val="18"/>
                <w:szCs w:val="18"/>
                <w:highlight w:val="none"/>
              </w:rPr>
              <w:t>教育</w:t>
            </w:r>
            <w:r>
              <w:rPr>
                <w:rFonts w:hint="eastAsia" w:ascii="仿宋_GB2312" w:hAnsi="仿宋" w:eastAsia="仿宋_GB2312"/>
                <w:color w:val="C00000"/>
                <w:sz w:val="18"/>
                <w:szCs w:val="18"/>
                <w:highlight w:val="none"/>
                <w:lang w:val="en-US" w:eastAsia="zh-CN"/>
              </w:rPr>
              <w:t>局</w:t>
            </w:r>
          </w:p>
        </w:tc>
        <w:tc>
          <w:tcPr>
            <w:tcW w:w="2160" w:type="dxa"/>
            <w:shd w:val="clear" w:color="auto" w:fill="auto"/>
            <w:noWrap w:val="0"/>
            <w:vAlign w:val="center"/>
          </w:tcPr>
          <w:p>
            <w:pPr>
              <w:jc w:val="left"/>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■公开查阅点</w:t>
            </w:r>
          </w:p>
        </w:tc>
        <w:tc>
          <w:tcPr>
            <w:tcW w:w="54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gridSpan w:val="2"/>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c>
          <w:tcPr>
            <w:tcW w:w="54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c>
          <w:tcPr>
            <w:tcW w:w="72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p>
        </w:tc>
        <w:tc>
          <w:tcPr>
            <w:tcW w:w="72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40" w:type="dxa"/>
            <w:vMerge w:val="continue"/>
            <w:shd w:val="clear" w:color="auto" w:fill="auto"/>
            <w:noWrap w:val="0"/>
            <w:vAlign w:val="center"/>
          </w:tcPr>
          <w:p>
            <w:pPr>
              <w:jc w:val="center"/>
            </w:pPr>
          </w:p>
        </w:tc>
        <w:tc>
          <w:tcPr>
            <w:tcW w:w="540" w:type="dxa"/>
            <w:vMerge w:val="continue"/>
            <w:shd w:val="clear" w:color="auto" w:fill="auto"/>
            <w:noWrap w:val="0"/>
            <w:vAlign w:val="center"/>
          </w:tcPr>
          <w:p>
            <w:pPr>
              <w:jc w:val="center"/>
            </w:pPr>
          </w:p>
        </w:tc>
        <w:tc>
          <w:tcPr>
            <w:tcW w:w="900" w:type="dxa"/>
            <w:shd w:val="clear" w:color="auto" w:fill="auto"/>
            <w:noWrap/>
            <w:vAlign w:val="center"/>
          </w:tcPr>
          <w:p>
            <w:pP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招生政策</w:t>
            </w:r>
          </w:p>
        </w:tc>
        <w:tc>
          <w:tcPr>
            <w:tcW w:w="2340" w:type="dxa"/>
            <w:shd w:val="clear" w:color="auto" w:fill="auto"/>
            <w:noWrap w:val="0"/>
            <w:vAlign w:val="center"/>
          </w:tcPr>
          <w:p>
            <w:pPr>
              <w:rPr>
                <w:rFonts w:hint="eastAsia" w:ascii="仿宋_GB2312" w:hAnsi="宋体" w:eastAsia="仿宋_GB2312" w:cs="宋体"/>
                <w:kern w:val="2"/>
                <w:sz w:val="18"/>
                <w:szCs w:val="18"/>
                <w:lang w:val="en-US" w:eastAsia="zh-CN" w:bidi="ar-SA"/>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shd w:val="clear" w:color="auto" w:fill="auto"/>
            <w:noWrap w:val="0"/>
            <w:vAlign w:val="center"/>
          </w:tcPr>
          <w:p>
            <w:pPr>
              <w:rPr>
                <w:rFonts w:hint="eastAsia" w:ascii="仿宋_GB2312" w:hAnsi="宋体" w:eastAsia="仿宋_GB2312" w:cs="宋体"/>
                <w:kern w:val="2"/>
                <w:sz w:val="18"/>
                <w:szCs w:val="18"/>
                <w:lang w:val="en-US" w:eastAsia="zh-CN" w:bidi="ar-SA"/>
              </w:rPr>
            </w:pPr>
          </w:p>
        </w:tc>
        <w:tc>
          <w:tcPr>
            <w:tcW w:w="1620" w:type="dxa"/>
            <w:shd w:val="clear" w:color="auto" w:fill="auto"/>
            <w:noWrap w:val="0"/>
            <w:vAlign w:val="center"/>
          </w:tcPr>
          <w:p>
            <w:pP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jc w:val="center"/>
              <w:rPr>
                <w:rFonts w:hint="eastAsia" w:ascii="仿宋_GB2312" w:hAnsi="宋体" w:eastAsia="仿宋_GB2312" w:cs="宋体"/>
                <w:color w:val="000000"/>
                <w:sz w:val="18"/>
                <w:szCs w:val="18"/>
              </w:rPr>
            </w:pPr>
          </w:p>
        </w:tc>
        <w:tc>
          <w:tcPr>
            <w:tcW w:w="540" w:type="dxa"/>
            <w:vMerge w:val="continue"/>
            <w:shd w:val="clear" w:color="auto" w:fill="auto"/>
            <w:noWrap/>
            <w:vAlign w:val="center"/>
          </w:tcPr>
          <w:p>
            <w:pPr>
              <w:jc w:val="cente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shd w:val="clear" w:color="auto" w:fill="auto"/>
            <w:noWrap w:val="0"/>
            <w:vAlign w:val="center"/>
          </w:tcPr>
          <w:p>
            <w:pPr>
              <w:rPr>
                <w:rFonts w:hint="eastAsia" w:ascii="仿宋_GB2312" w:hAnsi="宋体" w:eastAsia="仿宋_GB2312" w:cs="宋体"/>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■政府网站</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sz w:val="18"/>
                <w:szCs w:val="18"/>
              </w:rPr>
            </w:pP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90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noWrap w:val="0"/>
            <w:vAlign w:val="center"/>
          </w:tcPr>
          <w:p>
            <w:pPr>
              <w:rPr>
                <w:rFonts w:hint="eastAsia" w:ascii="仿宋_GB2312" w:hAnsi="宋体" w:eastAsia="仿宋_GB2312" w:cs="宋体"/>
                <w:sz w:val="18"/>
                <w:szCs w:val="18"/>
                <w:lang w:eastAsia="zh-CN"/>
              </w:rPr>
            </w:pPr>
            <w:r>
              <w:rPr>
                <w:rFonts w:hint="eastAsia" w:ascii="仿宋_GB2312" w:hAnsi="宋体" w:eastAsia="仿宋_GB2312"/>
                <w:sz w:val="18"/>
                <w:szCs w:val="18"/>
              </w:rPr>
              <w:t>《政府信息公开条例》、《国务院办公厅关于进一步加强控辍保学提高义务教育巩固水平的通知</w:t>
            </w:r>
            <w:r>
              <w:rPr>
                <w:rFonts w:hint="eastAsia" w:ascii="仿宋_GB2312" w:hAnsi="宋体" w:eastAsia="仿宋_GB2312"/>
                <w:sz w:val="18"/>
                <w:szCs w:val="18"/>
                <w:lang w:eastAsia="zh-CN"/>
              </w:rPr>
              <w:t>》</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40" w:type="dxa"/>
            <w:vMerge w:val="continue"/>
            <w:shd w:val="clear" w:color="auto" w:fill="auto"/>
            <w:noWrap/>
            <w:vAlign w:val="center"/>
          </w:tcPr>
          <w:p/>
        </w:tc>
        <w:tc>
          <w:tcPr>
            <w:tcW w:w="540" w:type="dxa"/>
            <w:vMerge w:val="continue"/>
            <w:shd w:val="clear" w:color="auto" w:fill="auto"/>
            <w:noWrap w:val="0"/>
            <w:vAlign w:val="center"/>
          </w:tcPr>
          <w:p/>
        </w:tc>
        <w:tc>
          <w:tcPr>
            <w:tcW w:w="900" w:type="dxa"/>
            <w:vMerge w:val="restart"/>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农村义务教育学生营养改善计划</w:t>
            </w:r>
          </w:p>
        </w:tc>
        <w:tc>
          <w:tcPr>
            <w:tcW w:w="234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有关政策法规、规章、规范性文件；组织机构和职责，举报电话、信箱或电子邮箱</w:t>
            </w:r>
            <w:r>
              <w:rPr>
                <w:rFonts w:hint="eastAsia" w:ascii="仿宋_GB2312" w:hAnsi="宋体" w:eastAsia="仿宋_GB2312"/>
                <w:color w:val="C00000"/>
                <w:sz w:val="18"/>
                <w:szCs w:val="18"/>
                <w:highlight w:val="none"/>
              </w:rPr>
              <w:br w:type="textWrapping"/>
            </w:r>
            <w:r>
              <w:rPr>
                <w:rFonts w:hint="eastAsia" w:ascii="仿宋_GB2312" w:hAnsi="宋体" w:eastAsia="仿宋_GB2312"/>
                <w:color w:val="C00000"/>
                <w:sz w:val="18"/>
                <w:szCs w:val="18"/>
                <w:highlight w:val="none"/>
              </w:rPr>
              <w:t>；供餐企业、托餐家庭名单</w:t>
            </w:r>
          </w:p>
        </w:tc>
        <w:tc>
          <w:tcPr>
            <w:tcW w:w="2520" w:type="dxa"/>
            <w:vMerge w:val="restart"/>
            <w:shd w:val="clear" w:color="auto" w:fill="auto"/>
            <w:noWrap w:val="0"/>
            <w:vAlign w:val="center"/>
          </w:tcPr>
          <w:p>
            <w:pPr>
              <w:jc w:val="cente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《政府信息公开条例》</w:t>
            </w:r>
            <w:r>
              <w:rPr>
                <w:rFonts w:hint="eastAsia" w:ascii="仿宋_GB2312" w:hAnsi="宋体" w:eastAsia="仿宋_GB2312"/>
                <w:color w:val="C00000"/>
                <w:sz w:val="18"/>
                <w:szCs w:val="18"/>
                <w:highlight w:val="none"/>
              </w:rPr>
              <w:br w:type="textWrapping"/>
            </w:r>
            <w:r>
              <w:rPr>
                <w:rFonts w:hint="eastAsia" w:ascii="仿宋_GB2312" w:hAnsi="宋体" w:eastAsia="仿宋_GB2312"/>
                <w:color w:val="C00000"/>
                <w:sz w:val="18"/>
                <w:szCs w:val="18"/>
                <w:highlight w:val="none"/>
              </w:rPr>
              <w:t>《国务院办公厅关于实施农村义务教育学生营养改善计划的意见》《教育部等十五部门关于印发〈农村义务教育学生营养改善计划实施细则〉等五个配套文件的通知》</w:t>
            </w:r>
          </w:p>
        </w:tc>
        <w:tc>
          <w:tcPr>
            <w:tcW w:w="162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lang w:eastAsia="zh-CN"/>
              </w:rPr>
              <w:t>廉江市教育局</w:t>
            </w:r>
          </w:p>
        </w:tc>
        <w:tc>
          <w:tcPr>
            <w:tcW w:w="2160" w:type="dxa"/>
            <w:shd w:val="clear" w:color="auto" w:fill="auto"/>
            <w:noWrap w:val="0"/>
            <w:vAlign w:val="center"/>
          </w:tcPr>
          <w:p>
            <w:pPr>
              <w:spacing w:line="240" w:lineRule="exact"/>
              <w:jc w:val="left"/>
              <w:rPr>
                <w:rFonts w:hint="eastAsia" w:ascii="仿宋_GB2312" w:hAnsi="仿宋" w:eastAsia="仿宋_GB2312"/>
                <w:color w:val="C00000"/>
                <w:sz w:val="18"/>
                <w:szCs w:val="18"/>
                <w:highlight w:val="none"/>
              </w:rPr>
            </w:pPr>
            <w:r>
              <w:rPr>
                <w:rFonts w:hint="eastAsia" w:ascii="仿宋_GB2312" w:hAnsi="仿宋" w:eastAsia="仿宋_GB2312"/>
                <w:color w:val="C00000"/>
                <w:sz w:val="18"/>
                <w:szCs w:val="18"/>
                <w:highlight w:val="none"/>
              </w:rPr>
              <w:t>■政府网站</w:t>
            </w:r>
          </w:p>
          <w:p>
            <w:pPr>
              <w:spacing w:line="240" w:lineRule="exact"/>
              <w:jc w:val="left"/>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■公开查阅点</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gridSpan w:val="2"/>
            <w:shd w:val="clear" w:color="auto" w:fill="auto"/>
            <w:noWrap/>
            <w:vAlign w:val="center"/>
          </w:tcPr>
          <w:p>
            <w:pPr>
              <w:rPr>
                <w:rFonts w:hint="eastAsia" w:ascii="仿宋_GB2312" w:hAnsi="宋体" w:eastAsia="仿宋_GB2312"/>
                <w:color w:val="C00000"/>
                <w:sz w:val="18"/>
                <w:szCs w:val="18"/>
              </w:rPr>
            </w:pP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ign w:val="center"/>
          </w:tcPr>
          <w:p>
            <w:pPr>
              <w:rPr>
                <w:rFonts w:hint="eastAsia" w:ascii="仿宋_GB2312" w:hAnsi="宋体" w:eastAsia="仿宋_GB2312"/>
                <w:color w:val="C00000"/>
                <w:sz w:val="18"/>
                <w:szCs w:val="18"/>
              </w:rPr>
            </w:pP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ign w:val="center"/>
          </w:tcPr>
          <w:p>
            <w:pPr>
              <w:jc w:val="center"/>
              <w:rPr>
                <w:rFonts w:hint="eastAsia" w:ascii="仿宋_GB2312" w:hAnsi="宋体" w:eastAsia="仿宋_GB2312"/>
                <w:color w:val="C00000"/>
                <w:sz w:val="18"/>
                <w:szCs w:val="18"/>
              </w:rPr>
            </w:pPr>
            <w:r>
              <w:rPr>
                <w:rFonts w:hint="eastAsia" w:ascii="仿宋_GB2312" w:hAnsi="仿宋" w:eastAsia="仿宋_GB2312"/>
                <w:color w:val="C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40" w:type="dxa"/>
            <w:vMerge w:val="continue"/>
            <w:shd w:val="clear" w:color="auto" w:fill="auto"/>
            <w:noWrap/>
            <w:vAlign w:val="center"/>
          </w:tcPr>
          <w:p/>
        </w:tc>
        <w:tc>
          <w:tcPr>
            <w:tcW w:w="540" w:type="dxa"/>
            <w:vMerge w:val="continue"/>
            <w:shd w:val="clear" w:color="auto" w:fill="auto"/>
            <w:noWrap w:val="0"/>
            <w:vAlign w:val="center"/>
          </w:tcPr>
          <w:p/>
        </w:tc>
        <w:tc>
          <w:tcPr>
            <w:tcW w:w="900" w:type="dxa"/>
            <w:vMerge w:val="continue"/>
            <w:shd w:val="clear" w:color="auto" w:fill="auto"/>
            <w:noWrap w:val="0"/>
            <w:vAlign w:val="center"/>
          </w:tcPr>
          <w:p>
            <w:pPr>
              <w:rPr>
                <w:rFonts w:hint="eastAsia" w:ascii="仿宋_GB2312" w:hAnsi="宋体" w:eastAsia="仿宋_GB2312"/>
                <w:color w:val="C00000"/>
                <w:sz w:val="18"/>
                <w:szCs w:val="18"/>
              </w:rPr>
            </w:pPr>
          </w:p>
        </w:tc>
        <w:tc>
          <w:tcPr>
            <w:tcW w:w="234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学校食堂饭菜价格、带量食谱；学校膳食委员会名单；学校管理人员陪餐情况；食品安全突发事件应急预案</w:t>
            </w:r>
          </w:p>
        </w:tc>
        <w:tc>
          <w:tcPr>
            <w:tcW w:w="2520" w:type="dxa"/>
            <w:vMerge w:val="continue"/>
            <w:shd w:val="clear" w:color="auto" w:fill="auto"/>
            <w:noWrap w:val="0"/>
            <w:vAlign w:val="center"/>
          </w:tcPr>
          <w:p>
            <w:pPr>
              <w:rPr>
                <w:rFonts w:hint="eastAsia" w:ascii="仿宋_GB2312" w:hAnsi="宋体" w:eastAsia="仿宋_GB2312"/>
                <w:color w:val="C00000"/>
                <w:sz w:val="18"/>
                <w:szCs w:val="18"/>
              </w:rPr>
            </w:pPr>
          </w:p>
        </w:tc>
        <w:tc>
          <w:tcPr>
            <w:tcW w:w="162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实施营养改善计划的试点学校</w:t>
            </w:r>
          </w:p>
        </w:tc>
        <w:tc>
          <w:tcPr>
            <w:tcW w:w="2160" w:type="dxa"/>
            <w:shd w:val="clear" w:color="auto" w:fill="auto"/>
            <w:noWrap w:val="0"/>
            <w:vAlign w:val="center"/>
          </w:tcPr>
          <w:p>
            <w:pPr>
              <w:spacing w:line="240" w:lineRule="exact"/>
              <w:jc w:val="left"/>
              <w:rPr>
                <w:rFonts w:hint="eastAsia" w:ascii="仿宋_GB2312" w:hAnsi="仿宋" w:eastAsia="仿宋_GB2312"/>
                <w:color w:val="C00000"/>
                <w:sz w:val="18"/>
                <w:szCs w:val="18"/>
                <w:highlight w:val="none"/>
              </w:rPr>
            </w:pPr>
            <w:r>
              <w:rPr>
                <w:rFonts w:hint="eastAsia" w:ascii="仿宋_GB2312" w:hAnsi="仿宋" w:eastAsia="仿宋_GB2312"/>
                <w:color w:val="C00000"/>
                <w:sz w:val="18"/>
                <w:szCs w:val="18"/>
                <w:highlight w:val="none"/>
              </w:rPr>
              <w:t>■政府网站</w:t>
            </w:r>
          </w:p>
          <w:p>
            <w:pPr>
              <w:spacing w:line="240" w:lineRule="exact"/>
              <w:jc w:val="left"/>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xml:space="preserve">■公开查阅点 </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gridSpan w:val="2"/>
            <w:shd w:val="clear" w:color="auto" w:fill="auto"/>
            <w:noWrap/>
            <w:vAlign w:val="center"/>
          </w:tcPr>
          <w:p>
            <w:pPr>
              <w:rPr>
                <w:rFonts w:hint="eastAsia" w:ascii="仿宋_GB2312" w:hAnsi="宋体" w:eastAsia="仿宋_GB2312"/>
                <w:color w:val="C00000"/>
                <w:sz w:val="18"/>
                <w:szCs w:val="18"/>
              </w:rPr>
            </w:pP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ign w:val="center"/>
          </w:tcPr>
          <w:p>
            <w:pPr>
              <w:rPr>
                <w:rFonts w:hint="eastAsia" w:ascii="仿宋_GB2312" w:hAnsi="宋体" w:eastAsia="仿宋_GB2312"/>
                <w:color w:val="C00000"/>
                <w:sz w:val="18"/>
                <w:szCs w:val="18"/>
              </w:rPr>
            </w:pP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p>
        </w:tc>
        <w:tc>
          <w:tcPr>
            <w:tcW w:w="720" w:type="dxa"/>
            <w:shd w:val="clear" w:color="auto" w:fill="auto"/>
            <w:noWrap/>
            <w:vAlign w:val="center"/>
          </w:tcPr>
          <w:p>
            <w:pPr>
              <w:jc w:val="center"/>
              <w:rPr>
                <w:rFonts w:hint="eastAsia" w:ascii="仿宋_GB2312" w:hAnsi="宋体" w:eastAsia="仿宋_GB2312"/>
                <w:color w:val="C00000"/>
                <w:sz w:val="18"/>
                <w:szCs w:val="18"/>
              </w:rPr>
            </w:pPr>
            <w:r>
              <w:rPr>
                <w:rFonts w:hint="eastAsia" w:ascii="仿宋_GB2312" w:hAnsi="仿宋" w:eastAsia="仿宋_GB2312"/>
                <w:color w:val="C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40" w:type="dxa"/>
            <w:vMerge w:val="continue"/>
            <w:shd w:val="clear" w:color="auto" w:fill="auto"/>
            <w:noWrap/>
            <w:vAlign w:val="center"/>
          </w:tcPr>
          <w:p>
            <w:pPr>
              <w:rPr>
                <w:rFonts w:hint="eastAsia" w:ascii="仿宋_GB2312" w:hAnsi="宋体" w:eastAsia="仿宋_GB2312"/>
                <w:sz w:val="18"/>
                <w:szCs w:val="18"/>
              </w:rPr>
            </w:pPr>
          </w:p>
        </w:tc>
        <w:tc>
          <w:tcPr>
            <w:tcW w:w="540" w:type="dxa"/>
            <w:vMerge w:val="continue"/>
            <w:shd w:val="clear" w:color="auto" w:fill="auto"/>
            <w:noWrap w:val="0"/>
            <w:vAlign w:val="center"/>
          </w:tcPr>
          <w:p>
            <w:pPr>
              <w:rPr>
                <w:rFonts w:hint="eastAsia" w:ascii="仿宋_GB2312" w:hAnsi="宋体" w:eastAsia="仿宋_GB2312"/>
                <w:sz w:val="18"/>
                <w:szCs w:val="18"/>
              </w:rPr>
            </w:pPr>
          </w:p>
        </w:tc>
        <w:tc>
          <w:tcPr>
            <w:tcW w:w="900" w:type="dxa"/>
            <w:vMerge w:val="continue"/>
            <w:shd w:val="clear" w:color="auto" w:fill="auto"/>
            <w:noWrap w:val="0"/>
            <w:vAlign w:val="center"/>
          </w:tcPr>
          <w:p>
            <w:pPr>
              <w:rPr>
                <w:rFonts w:hint="eastAsia" w:ascii="仿宋_GB2312" w:hAnsi="宋体" w:eastAsia="仿宋_GB2312"/>
                <w:color w:val="C00000"/>
                <w:sz w:val="18"/>
                <w:szCs w:val="18"/>
              </w:rPr>
            </w:pPr>
          </w:p>
        </w:tc>
        <w:tc>
          <w:tcPr>
            <w:tcW w:w="234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供餐企业（单位）配套管理制度，食品安全责任人、供餐方签约人；食品安全突发事件应急预案</w:t>
            </w:r>
          </w:p>
        </w:tc>
        <w:tc>
          <w:tcPr>
            <w:tcW w:w="2520" w:type="dxa"/>
            <w:vMerge w:val="continue"/>
            <w:shd w:val="clear" w:color="auto" w:fill="auto"/>
            <w:noWrap w:val="0"/>
            <w:vAlign w:val="center"/>
          </w:tcPr>
          <w:p>
            <w:pPr>
              <w:rPr>
                <w:rFonts w:hint="eastAsia" w:ascii="仿宋_GB2312" w:hAnsi="宋体" w:eastAsia="仿宋_GB2312"/>
                <w:color w:val="C00000"/>
                <w:sz w:val="18"/>
                <w:szCs w:val="18"/>
              </w:rPr>
            </w:pPr>
          </w:p>
        </w:tc>
        <w:tc>
          <w:tcPr>
            <w:tcW w:w="162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信息形成或者变更之日起20个工作日内</w:t>
            </w:r>
          </w:p>
        </w:tc>
        <w:tc>
          <w:tcPr>
            <w:tcW w:w="90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实施营养改善计划的供餐企业（单位）</w:t>
            </w:r>
          </w:p>
        </w:tc>
        <w:tc>
          <w:tcPr>
            <w:tcW w:w="2160" w:type="dxa"/>
            <w:shd w:val="clear" w:color="auto" w:fill="auto"/>
            <w:noWrap w:val="0"/>
            <w:vAlign w:val="center"/>
          </w:tcPr>
          <w:p>
            <w:pPr>
              <w:spacing w:line="240" w:lineRule="exact"/>
              <w:jc w:val="left"/>
              <w:rPr>
                <w:rFonts w:hint="eastAsia" w:ascii="仿宋_GB2312" w:hAnsi="仿宋" w:eastAsia="仿宋_GB2312"/>
                <w:color w:val="C00000"/>
                <w:sz w:val="18"/>
                <w:szCs w:val="18"/>
                <w:highlight w:val="none"/>
              </w:rPr>
            </w:pPr>
            <w:r>
              <w:rPr>
                <w:rFonts w:hint="eastAsia" w:ascii="仿宋_GB2312" w:hAnsi="仿宋" w:eastAsia="仿宋_GB2312"/>
                <w:color w:val="C00000"/>
                <w:sz w:val="18"/>
                <w:szCs w:val="18"/>
                <w:highlight w:val="none"/>
              </w:rPr>
              <w:t>■政府网站</w:t>
            </w:r>
          </w:p>
          <w:p>
            <w:pPr>
              <w:spacing w:line="240" w:lineRule="exact"/>
              <w:jc w:val="left"/>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xml:space="preserve">■公开查阅点  </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gridSpan w:val="2"/>
            <w:shd w:val="clear" w:color="auto" w:fill="auto"/>
            <w:noWrap/>
            <w:vAlign w:val="center"/>
          </w:tcPr>
          <w:p>
            <w:pPr>
              <w:rPr>
                <w:rFonts w:hint="eastAsia" w:ascii="仿宋_GB2312" w:hAnsi="宋体" w:eastAsia="仿宋_GB2312"/>
                <w:color w:val="C00000"/>
                <w:sz w:val="18"/>
                <w:szCs w:val="18"/>
              </w:rPr>
            </w:pP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ign w:val="center"/>
          </w:tcPr>
          <w:p>
            <w:pPr>
              <w:rPr>
                <w:rFonts w:hint="eastAsia" w:ascii="仿宋_GB2312" w:hAnsi="宋体" w:eastAsia="仿宋_GB2312"/>
                <w:color w:val="C00000"/>
                <w:sz w:val="18"/>
                <w:szCs w:val="18"/>
              </w:rPr>
            </w:pP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p>
        </w:tc>
        <w:tc>
          <w:tcPr>
            <w:tcW w:w="720" w:type="dxa"/>
            <w:shd w:val="clear" w:color="auto" w:fill="auto"/>
            <w:noWrap/>
            <w:vAlign w:val="center"/>
          </w:tcPr>
          <w:p>
            <w:pPr>
              <w:jc w:val="center"/>
              <w:rPr>
                <w:rFonts w:hint="eastAsia" w:ascii="仿宋_GB2312" w:hAnsi="宋体" w:eastAsia="仿宋_GB2312"/>
                <w:color w:val="C00000"/>
                <w:sz w:val="18"/>
                <w:szCs w:val="18"/>
              </w:rPr>
            </w:pPr>
            <w:r>
              <w:rPr>
                <w:rFonts w:hint="eastAsia" w:ascii="仿宋_GB2312" w:hAnsi="仿宋" w:eastAsia="仿宋_GB2312"/>
                <w:color w:val="C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540" w:type="dxa"/>
            <w:vMerge w:val="continue"/>
            <w:shd w:val="clear" w:color="auto" w:fill="auto"/>
            <w:noWrap/>
            <w:vAlign w:val="center"/>
          </w:tcPr>
          <w:p>
            <w:pPr>
              <w:rPr>
                <w:rFonts w:hint="eastAsia" w:ascii="仿宋_GB2312" w:hAnsi="宋体" w:eastAsia="仿宋_GB2312"/>
                <w:sz w:val="18"/>
                <w:szCs w:val="18"/>
              </w:rPr>
            </w:pPr>
          </w:p>
        </w:tc>
        <w:tc>
          <w:tcPr>
            <w:tcW w:w="540" w:type="dxa"/>
            <w:vMerge w:val="continue"/>
            <w:shd w:val="clear" w:color="auto" w:fill="auto"/>
            <w:noWrap w:val="0"/>
            <w:vAlign w:val="center"/>
          </w:tcPr>
          <w:p>
            <w:pPr>
              <w:rPr>
                <w:rFonts w:hint="eastAsia" w:ascii="仿宋_GB2312" w:hAnsi="宋体" w:eastAsia="仿宋_GB2312"/>
                <w:sz w:val="18"/>
                <w:szCs w:val="18"/>
              </w:rPr>
            </w:pPr>
          </w:p>
        </w:tc>
        <w:tc>
          <w:tcPr>
            <w:tcW w:w="900" w:type="dxa"/>
            <w:shd w:val="clear" w:color="auto" w:fill="auto"/>
            <w:noWrap w:val="0"/>
            <w:vAlign w:val="center"/>
          </w:tcPr>
          <w:p>
            <w:pPr>
              <w:jc w:val="cente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学校体育评价</w:t>
            </w:r>
          </w:p>
        </w:tc>
        <w:tc>
          <w:tcPr>
            <w:tcW w:w="234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《政府信息公开条例》、教育部关于印发《学生体质健康监测评价办法》等三个文件的通知</w:t>
            </w:r>
          </w:p>
        </w:tc>
        <w:tc>
          <w:tcPr>
            <w:tcW w:w="162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lang w:eastAsia="zh-CN"/>
              </w:rPr>
              <w:t>廉江市教育局</w:t>
            </w:r>
          </w:p>
        </w:tc>
        <w:tc>
          <w:tcPr>
            <w:tcW w:w="2160" w:type="dxa"/>
            <w:shd w:val="clear" w:color="auto" w:fill="auto"/>
            <w:noWrap w:val="0"/>
            <w:vAlign w:val="center"/>
          </w:tcPr>
          <w:p>
            <w:pPr>
              <w:rPr>
                <w:rFonts w:hint="eastAsia" w:ascii="仿宋_GB2312" w:hAnsi="仿宋" w:eastAsia="仿宋_GB2312"/>
                <w:color w:val="C00000"/>
                <w:sz w:val="18"/>
                <w:szCs w:val="18"/>
                <w:highlight w:val="none"/>
              </w:rPr>
            </w:pPr>
            <w:r>
              <w:rPr>
                <w:rFonts w:hint="eastAsia" w:ascii="仿宋_GB2312" w:hAnsi="仿宋" w:eastAsia="仿宋_GB2312"/>
                <w:color w:val="C00000"/>
                <w:sz w:val="18"/>
                <w:szCs w:val="18"/>
                <w:highlight w:val="none"/>
              </w:rPr>
              <w:t>■政府网站</w:t>
            </w:r>
          </w:p>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■公开查阅点</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gridSpan w:val="2"/>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540" w:type="dxa"/>
            <w:vMerge w:val="continue"/>
            <w:shd w:val="clear" w:color="auto" w:fill="auto"/>
            <w:noWrap/>
            <w:vAlign w:val="center"/>
          </w:tcPr>
          <w:p>
            <w:pPr>
              <w:rPr>
                <w:rFonts w:hint="eastAsia" w:ascii="仿宋_GB2312" w:hAnsi="宋体" w:eastAsia="仿宋_GB2312"/>
                <w:sz w:val="18"/>
                <w:szCs w:val="18"/>
              </w:rPr>
            </w:pPr>
          </w:p>
        </w:tc>
        <w:tc>
          <w:tcPr>
            <w:tcW w:w="540" w:type="dxa"/>
            <w:vMerge w:val="continue"/>
            <w:shd w:val="clear" w:color="auto" w:fill="auto"/>
            <w:noWrap w:val="0"/>
            <w:vAlign w:val="center"/>
          </w:tcPr>
          <w:p>
            <w:pPr>
              <w:rPr>
                <w:rFonts w:hint="eastAsia" w:ascii="仿宋_GB2312" w:hAnsi="宋体" w:eastAsia="仿宋_GB2312"/>
                <w:sz w:val="18"/>
                <w:szCs w:val="18"/>
              </w:rPr>
            </w:pPr>
          </w:p>
        </w:tc>
        <w:tc>
          <w:tcPr>
            <w:tcW w:w="900" w:type="dxa"/>
            <w:shd w:val="clear" w:color="auto" w:fill="auto"/>
            <w:noWrap w:val="0"/>
            <w:vAlign w:val="center"/>
          </w:tcPr>
          <w:p>
            <w:pPr>
              <w:jc w:val="cente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学校美育评价</w:t>
            </w:r>
          </w:p>
        </w:tc>
        <w:tc>
          <w:tcPr>
            <w:tcW w:w="234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noWrap w:val="0"/>
            <w:vAlign w:val="center"/>
          </w:tcPr>
          <w:p>
            <w:pPr>
              <w:rPr>
                <w:rFonts w:hint="eastAsia" w:ascii="仿宋_GB2312" w:hAnsi="宋体" w:eastAsia="仿宋_GB2312" w:cs="宋体"/>
                <w:color w:val="C00000"/>
                <w:kern w:val="2"/>
                <w:sz w:val="18"/>
                <w:szCs w:val="18"/>
                <w:highlight w:val="none"/>
                <w:lang w:val="en-US" w:eastAsia="zh-CN" w:bidi="ar-SA"/>
              </w:rPr>
            </w:pPr>
            <w:r>
              <w:rPr>
                <w:rFonts w:hint="eastAsia" w:ascii="仿宋_GB2312" w:hAnsi="宋体" w:eastAsia="仿宋_GB2312"/>
                <w:color w:val="C00000"/>
                <w:sz w:val="18"/>
                <w:szCs w:val="18"/>
                <w:highlight w:val="none"/>
              </w:rPr>
              <w:t>《政府信息公开条例》、教育部关于印发《中小学生艺术素质测评办法》等三个文件的通知</w:t>
            </w:r>
          </w:p>
        </w:tc>
        <w:tc>
          <w:tcPr>
            <w:tcW w:w="1620" w:type="dxa"/>
            <w:shd w:val="clear" w:color="auto" w:fill="auto"/>
            <w:noWrap w:val="0"/>
            <w:vAlign w:val="center"/>
          </w:tcPr>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lang w:eastAsia="zh-CN"/>
              </w:rPr>
              <w:t>廉江市教育局</w:t>
            </w:r>
          </w:p>
        </w:tc>
        <w:tc>
          <w:tcPr>
            <w:tcW w:w="2160" w:type="dxa"/>
            <w:shd w:val="clear" w:color="auto" w:fill="auto"/>
            <w:noWrap w:val="0"/>
            <w:vAlign w:val="center"/>
          </w:tcPr>
          <w:p>
            <w:pPr>
              <w:rPr>
                <w:rFonts w:hint="eastAsia" w:ascii="仿宋_GB2312" w:hAnsi="仿宋" w:eastAsia="仿宋_GB2312"/>
                <w:color w:val="C00000"/>
                <w:sz w:val="18"/>
                <w:szCs w:val="18"/>
                <w:highlight w:val="none"/>
              </w:rPr>
            </w:pPr>
            <w:r>
              <w:rPr>
                <w:rFonts w:hint="eastAsia" w:ascii="仿宋_GB2312" w:hAnsi="仿宋" w:eastAsia="仿宋_GB2312"/>
                <w:color w:val="C00000"/>
                <w:sz w:val="18"/>
                <w:szCs w:val="18"/>
                <w:highlight w:val="none"/>
              </w:rPr>
              <w:t>■政府网站</w:t>
            </w:r>
          </w:p>
          <w:p>
            <w:pP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■公开查阅点</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gridSpan w:val="2"/>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c>
          <w:tcPr>
            <w:tcW w:w="54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w:t>
            </w: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p>
        </w:tc>
        <w:tc>
          <w:tcPr>
            <w:tcW w:w="720" w:type="dxa"/>
            <w:shd w:val="clear" w:color="auto" w:fill="auto"/>
            <w:noWrap/>
            <w:vAlign w:val="center"/>
          </w:tcPr>
          <w:p>
            <w:pPr>
              <w:jc w:val="center"/>
              <w:rPr>
                <w:rFonts w:hint="eastAsia" w:ascii="仿宋_GB2312" w:hAnsi="仿宋" w:eastAsia="仿宋_GB2312" w:cs="宋体"/>
                <w:color w:val="C00000"/>
                <w:kern w:val="2"/>
                <w:sz w:val="18"/>
                <w:szCs w:val="18"/>
                <w:highlight w:val="none"/>
                <w:lang w:val="en-US" w:eastAsia="zh-CN" w:bidi="ar-SA"/>
              </w:rPr>
            </w:pPr>
            <w:r>
              <w:rPr>
                <w:rFonts w:hint="eastAsia" w:ascii="仿宋_GB2312" w:hAnsi="仿宋" w:eastAsia="仿宋_GB2312"/>
                <w:color w:val="C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54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shd w:val="clear" w:color="auto" w:fill="auto"/>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廉江市教育局</w:t>
            </w:r>
          </w:p>
        </w:tc>
        <w:tc>
          <w:tcPr>
            <w:tcW w:w="2160" w:type="dxa"/>
            <w:shd w:val="clear" w:color="auto" w:fill="auto"/>
            <w:noWrap w:val="0"/>
            <w:vAlign w:val="center"/>
          </w:tcPr>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left"/>
        <w:rPr>
          <w:rFonts w:hint="eastAsia" w:ascii="楷体" w:hAnsi="楷体" w:eastAsia="楷体" w:cs="楷体"/>
          <w:sz w:val="24"/>
          <w:szCs w:val="24"/>
          <w:lang w:val="en-US" w:eastAsia="zh-CN"/>
        </w:rPr>
      </w:pPr>
    </w:p>
    <w:p>
      <w:pPr>
        <w:spacing w:line="360" w:lineRule="auto"/>
        <w:ind w:firstLine="760"/>
        <w:jc w:val="both"/>
        <w:rPr>
          <w:rFonts w:hint="default" w:ascii="华文中宋" w:hAnsi="华文中宋" w:eastAsia="华文中宋"/>
          <w:spacing w:val="20"/>
          <w:sz w:val="30"/>
          <w:szCs w:val="30"/>
          <w:lang w:val="en-US" w:eastAsia="zh-CN"/>
        </w:rPr>
      </w:pPr>
      <w:r>
        <w:rPr>
          <w:rFonts w:hint="eastAsia" w:ascii="华文中宋" w:hAnsi="华文中宋" w:eastAsia="华文中宋"/>
          <w:spacing w:val="20"/>
          <w:sz w:val="30"/>
          <w:szCs w:val="30"/>
          <w:lang w:val="en-US" w:eastAsia="zh-CN"/>
        </w:rPr>
        <w:t>填报人： 余泽仕   审核人： 刘建光   单位主要领导： 叶春</w:t>
      </w:r>
    </w:p>
    <w:p>
      <w:pPr>
        <w:jc w:val="left"/>
        <w:rPr>
          <w:rFonts w:hint="eastAsia" w:ascii="楷体" w:hAnsi="楷体" w:eastAsia="楷体" w:cs="楷体"/>
          <w:sz w:val="24"/>
          <w:szCs w:val="24"/>
          <w:lang w:val="en-US" w:eastAsia="zh-CN"/>
        </w:rPr>
      </w:pPr>
    </w:p>
    <w:p>
      <w:p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备注：对“5-招生管理-学校介绍”“8-重要政策执行情况-农村义务教育学生营养改善计划、学校体育评价、学校美育评价”等四个二级事项的公开主体和公开层次存疑，已标红。</w:t>
      </w:r>
      <w:bookmarkStart w:id="1" w:name="_GoBack"/>
      <w:bookmarkEnd w:id="1"/>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103</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6E61ED3"/>
    <w:rsid w:val="11427B56"/>
    <w:rsid w:val="123F25BD"/>
    <w:rsid w:val="1FE427DC"/>
    <w:rsid w:val="2AE55A0D"/>
    <w:rsid w:val="35CC0AE3"/>
    <w:rsid w:val="391A37CB"/>
    <w:rsid w:val="3A360341"/>
    <w:rsid w:val="40B37CD2"/>
    <w:rsid w:val="4498331E"/>
    <w:rsid w:val="484974E1"/>
    <w:rsid w:val="48831A62"/>
    <w:rsid w:val="50B24D64"/>
    <w:rsid w:val="5D38339C"/>
    <w:rsid w:val="5D845B1A"/>
    <w:rsid w:val="721E45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customStyle="1" w:styleId="15">
    <w:name w:val="列出段落"/>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16843</Words>
  <Characters>96011</Characters>
  <Lines>800</Lines>
  <Paragraphs>225</Paragraphs>
  <TotalTime>0</TotalTime>
  <ScaleCrop>false</ScaleCrop>
  <LinksUpToDate>false</LinksUpToDate>
  <CharactersWithSpaces>112629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2019-11-15T07:18:00Z</dcterms:created>
  <dc:creator>USER</dc:creator>
  <cp:lastModifiedBy>江雪</cp:lastModifiedBy>
  <cp:lastPrinted>2020-08-04T07:49:00Z</cp:lastPrinted>
  <dcterms:modified xsi:type="dcterms:W3CDTF">2020-09-17T02:18:48Z</dcterms:modified>
  <dc:title>扶贫领域基层政务公开标准目录</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