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CFFA6">
      <w:pPr>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761A1C5E">
      <w:pPr>
        <w:spacing w:line="360" w:lineRule="auto"/>
        <w:ind w:firstLine="480" w:firstLineChars="150"/>
        <w:rPr>
          <w:rFonts w:hint="eastAsia" w:ascii="仿宋_GB2312" w:eastAsia="仿宋_GB2312"/>
          <w:sz w:val="32"/>
          <w:szCs w:val="32"/>
        </w:rPr>
      </w:pPr>
      <w:r>
        <w:rPr>
          <w:rFonts w:hint="eastAsia" w:ascii="仿宋_GB2312" w:eastAsia="仿宋_GB2312"/>
          <w:sz w:val="32"/>
          <w:szCs w:val="32"/>
        </w:rPr>
        <w:t xml:space="preserve">     </w:t>
      </w:r>
    </w:p>
    <w:p w14:paraId="5560E6AE">
      <w:pPr>
        <w:spacing w:line="620" w:lineRule="exact"/>
        <w:jc w:val="center"/>
        <w:rPr>
          <w:rFonts w:hint="eastAsia" w:ascii="方正小标宋_GBK" w:eastAsia="方正小标宋_GBK"/>
          <w:sz w:val="44"/>
          <w:szCs w:val="44"/>
        </w:rPr>
      </w:pPr>
      <w:r>
        <w:rPr>
          <w:rFonts w:hint="eastAsia" w:ascii="方正小标宋_GBK" w:eastAsia="方正小标宋_GBK"/>
          <w:sz w:val="44"/>
          <w:szCs w:val="44"/>
        </w:rPr>
        <w:t>廉江市典型村片区项目支出绩效自评报告</w:t>
      </w:r>
    </w:p>
    <w:p w14:paraId="481111DA">
      <w:pPr>
        <w:spacing w:line="620" w:lineRule="exact"/>
        <w:rPr>
          <w:rFonts w:hint="eastAsia" w:ascii="仿宋_GB2312" w:eastAsia="仿宋_GB2312"/>
          <w:sz w:val="30"/>
        </w:rPr>
      </w:pPr>
    </w:p>
    <w:p w14:paraId="23CA7FFE">
      <w:pPr>
        <w:spacing w:line="620" w:lineRule="exact"/>
        <w:rPr>
          <w:rFonts w:hint="eastAsia" w:ascii="仿宋_GB2312" w:eastAsia="仿宋_GB2312"/>
          <w:sz w:val="30"/>
        </w:rPr>
      </w:pPr>
    </w:p>
    <w:p w14:paraId="178FAF4F">
      <w:pPr>
        <w:spacing w:line="620" w:lineRule="exact"/>
        <w:rPr>
          <w:rFonts w:hint="eastAsia" w:ascii="仿宋_GB2312" w:eastAsia="仿宋_GB2312"/>
          <w:sz w:val="30"/>
        </w:rPr>
      </w:pPr>
    </w:p>
    <w:p w14:paraId="1730ACED">
      <w:pPr>
        <w:spacing w:line="620" w:lineRule="exact"/>
        <w:rPr>
          <w:rFonts w:hint="eastAsia" w:ascii="仿宋_GB2312" w:eastAsia="仿宋_GB2312"/>
          <w:sz w:val="30"/>
        </w:rPr>
      </w:pPr>
    </w:p>
    <w:p w14:paraId="2C0D8CEB">
      <w:pPr>
        <w:spacing w:line="620" w:lineRule="exact"/>
        <w:rPr>
          <w:rFonts w:hint="eastAsia" w:ascii="仿宋_GB2312" w:eastAsia="仿宋_GB2312"/>
          <w:sz w:val="30"/>
        </w:rPr>
      </w:pPr>
    </w:p>
    <w:p w14:paraId="25E5DA86">
      <w:pPr>
        <w:spacing w:line="620" w:lineRule="exact"/>
        <w:rPr>
          <w:rFonts w:hint="eastAsia" w:ascii="仿宋_GB2312" w:eastAsia="仿宋_GB2312"/>
          <w:sz w:val="30"/>
        </w:rPr>
      </w:pPr>
    </w:p>
    <w:p w14:paraId="1D0203E1">
      <w:pPr>
        <w:spacing w:line="620" w:lineRule="exact"/>
        <w:rPr>
          <w:rFonts w:hint="eastAsia" w:ascii="仿宋_GB2312" w:eastAsia="仿宋_GB2312"/>
          <w:sz w:val="30"/>
        </w:rPr>
      </w:pPr>
    </w:p>
    <w:p w14:paraId="6D1ACC60">
      <w:pPr>
        <w:spacing w:line="620" w:lineRule="exact"/>
        <w:rPr>
          <w:rFonts w:hint="eastAsia" w:ascii="仿宋_GB2312" w:eastAsia="仿宋_GB2312"/>
          <w:sz w:val="30"/>
        </w:rPr>
      </w:pPr>
    </w:p>
    <w:p w14:paraId="44F2BCCE">
      <w:pPr>
        <w:spacing w:line="620" w:lineRule="exact"/>
        <w:rPr>
          <w:rFonts w:hint="eastAsia" w:ascii="仿宋_GB2312" w:eastAsia="仿宋_GB2312"/>
          <w:sz w:val="30"/>
        </w:rPr>
      </w:pPr>
    </w:p>
    <w:p w14:paraId="126CCE94">
      <w:pPr>
        <w:spacing w:line="620" w:lineRule="exact"/>
        <w:rPr>
          <w:rFonts w:hint="eastAsia" w:ascii="仿宋_GB2312" w:eastAsia="仿宋_GB2312"/>
          <w:sz w:val="30"/>
        </w:rPr>
      </w:pPr>
    </w:p>
    <w:p w14:paraId="515F3526">
      <w:pPr>
        <w:spacing w:line="620" w:lineRule="exact"/>
        <w:rPr>
          <w:rFonts w:hint="eastAsia" w:ascii="仿宋_GB2312" w:eastAsia="仿宋_GB2312"/>
          <w:sz w:val="30"/>
        </w:rPr>
      </w:pPr>
    </w:p>
    <w:p w14:paraId="54AB3081">
      <w:pPr>
        <w:spacing w:line="620" w:lineRule="exact"/>
        <w:rPr>
          <w:rFonts w:hint="eastAsia" w:ascii="仿宋_GB2312" w:eastAsia="仿宋_GB2312"/>
          <w:sz w:val="30"/>
        </w:rPr>
      </w:pPr>
    </w:p>
    <w:p w14:paraId="714CA899">
      <w:pPr>
        <w:spacing w:line="620" w:lineRule="exact"/>
        <w:rPr>
          <w:rFonts w:hint="eastAsia" w:ascii="仿宋_GB2312" w:eastAsia="仿宋_GB2312"/>
          <w:sz w:val="32"/>
          <w:szCs w:val="32"/>
        </w:rPr>
      </w:pPr>
    </w:p>
    <w:p w14:paraId="5106314F">
      <w:pPr>
        <w:spacing w:line="620" w:lineRule="exact"/>
        <w:rPr>
          <w:rFonts w:hint="eastAsia" w:ascii="仿宋_GB2312" w:eastAsia="仿宋_GB2312"/>
          <w:b/>
          <w:bCs/>
          <w:sz w:val="32"/>
          <w:szCs w:val="32"/>
        </w:rPr>
      </w:pPr>
      <w:r>
        <w:rPr>
          <w:rFonts w:hint="eastAsia" w:ascii="仿宋_GB2312" w:eastAsia="仿宋_GB2312"/>
          <w:sz w:val="32"/>
          <w:szCs w:val="32"/>
        </w:rPr>
        <w:t>项目名称：廉江市典型村片区</w:t>
      </w:r>
    </w:p>
    <w:p w14:paraId="3A8D9163">
      <w:pPr>
        <w:spacing w:line="620" w:lineRule="exact"/>
        <w:rPr>
          <w:rFonts w:hint="default" w:ascii="仿宋_GB2312" w:eastAsia="仿宋_GB2312"/>
          <w:sz w:val="32"/>
          <w:szCs w:val="32"/>
          <w:lang w:val="en-US" w:eastAsia="zh-CN"/>
        </w:rPr>
      </w:pPr>
      <w:r>
        <w:rPr>
          <w:rFonts w:hint="eastAsia" w:ascii="仿宋_GB2312" w:eastAsia="仿宋_GB2312"/>
          <w:sz w:val="32"/>
          <w:szCs w:val="32"/>
        </w:rPr>
        <w:t>评价年度：</w:t>
      </w:r>
      <w:r>
        <w:rPr>
          <w:rFonts w:hint="eastAsia" w:ascii="仿宋_GB2312" w:eastAsia="仿宋_GB2312"/>
          <w:sz w:val="32"/>
          <w:szCs w:val="32"/>
          <w:lang w:val="en-US" w:eastAsia="zh-CN"/>
        </w:rPr>
        <w:t>2026年</w:t>
      </w:r>
    </w:p>
    <w:p w14:paraId="5F6CA1CB">
      <w:pPr>
        <w:spacing w:line="620" w:lineRule="exact"/>
        <w:rPr>
          <w:rFonts w:hint="eastAsia" w:ascii="仿宋_GB2312" w:eastAsia="仿宋_GB2312"/>
          <w:sz w:val="32"/>
          <w:szCs w:val="32"/>
        </w:rPr>
      </w:pPr>
      <w:r>
        <w:rPr>
          <w:rFonts w:hint="eastAsia" w:ascii="仿宋_GB2312" w:eastAsia="仿宋_GB2312"/>
          <w:sz w:val="32"/>
          <w:szCs w:val="32"/>
          <w:lang w:val="en-US" w:eastAsia="zh-CN"/>
        </w:rPr>
        <w:t>评价单位</w:t>
      </w:r>
      <w:r>
        <w:rPr>
          <w:rFonts w:hint="eastAsia" w:ascii="仿宋_GB2312" w:eastAsia="仿宋_GB2312"/>
          <w:sz w:val="32"/>
          <w:szCs w:val="32"/>
        </w:rPr>
        <w:t>（公章）：</w:t>
      </w:r>
    </w:p>
    <w:p w14:paraId="3F036572">
      <w:pPr>
        <w:spacing w:line="620" w:lineRule="exact"/>
        <w:rPr>
          <w:rFonts w:hint="default" w:ascii="仿宋_GB2312" w:eastAsia="仿宋_GB2312"/>
          <w:sz w:val="32"/>
          <w:szCs w:val="32"/>
          <w:lang w:val="en-US" w:eastAsia="zh-CN"/>
        </w:rPr>
      </w:pPr>
      <w:r>
        <w:rPr>
          <w:rFonts w:hint="eastAsia" w:ascii="仿宋_GB2312" w:eastAsia="仿宋_GB2312"/>
          <w:sz w:val="32"/>
          <w:szCs w:val="32"/>
        </w:rPr>
        <w:t>填报日期：</w:t>
      </w:r>
      <w:r>
        <w:rPr>
          <w:rFonts w:hint="eastAsia" w:ascii="仿宋_GB2312" w:eastAsia="仿宋_GB2312"/>
          <w:sz w:val="32"/>
          <w:szCs w:val="32"/>
          <w:lang w:val="en-US" w:eastAsia="zh-CN"/>
        </w:rPr>
        <w:t>2026/7/29</w:t>
      </w:r>
    </w:p>
    <w:p w14:paraId="746F3484">
      <w:pPr>
        <w:spacing w:line="620" w:lineRule="exact"/>
        <w:rPr>
          <w:rFonts w:hint="eastAsia" w:ascii="仿宋_GB2312" w:eastAsia="仿宋_GB2312"/>
          <w:sz w:val="32"/>
          <w:szCs w:val="32"/>
        </w:rPr>
      </w:pPr>
    </w:p>
    <w:p w14:paraId="0300260E">
      <w:pPr>
        <w:spacing w:line="620" w:lineRule="exact"/>
        <w:rPr>
          <w:rFonts w:hint="eastAsia" w:ascii="仿宋_GB2312" w:eastAsia="仿宋_GB2312"/>
          <w:sz w:val="30"/>
        </w:rPr>
      </w:pPr>
    </w:p>
    <w:p w14:paraId="3F1A15A5">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一、基本情况</w:t>
      </w:r>
    </w:p>
    <w:p w14:paraId="4E6FE4D1">
      <w:pPr>
        <w:keepNext w:val="0"/>
        <w:keepLines w:val="0"/>
        <w:pageBreakBefore w:val="0"/>
        <w:widowControl w:val="0"/>
        <w:kinsoku/>
        <w:wordWrap/>
        <w:overflowPunct/>
        <w:topLinePunct w:val="0"/>
        <w:autoSpaceDE/>
        <w:autoSpaceDN/>
        <w:bidi w:val="0"/>
        <w:spacing w:line="540" w:lineRule="exact"/>
        <w:ind w:firstLine="600"/>
        <w:textAlignment w:val="auto"/>
        <w:rPr>
          <w:rFonts w:hint="eastAsia" w:ascii="仿宋_GB2312" w:hAnsi="仿宋_GB2312" w:eastAsia="仿宋_GB2312"/>
          <w:kern w:val="1"/>
          <w:sz w:val="32"/>
          <w:szCs w:val="32"/>
        </w:rPr>
      </w:pPr>
      <w:r>
        <w:rPr>
          <w:rFonts w:hint="eastAsia" w:ascii="楷体_GB2312" w:hAnsi="楷体_GB2312" w:eastAsia="楷体_GB2312" w:cs="楷体_GB2312"/>
          <w:color w:val="auto"/>
          <w:kern w:val="1"/>
          <w:sz w:val="32"/>
          <w:szCs w:val="32"/>
        </w:rPr>
        <w:t>（一）项目概况</w:t>
      </w:r>
    </w:p>
    <w:p w14:paraId="117F3300">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廉江市石颈镇典型村片区覆盖范围：包括1个镇（街）4个村（社区），分别为石颈镇圩、白坭村、平城村（典型村）、烟塘村（典型村）、香岭村（典型村），覆盖范围约19.1平方公里，总投资9028万元，建设周期为1-2年。</w:t>
      </w:r>
    </w:p>
    <w:p w14:paraId="0FC8267F">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片区以国家级现代农业产业园为核心载体，通过湛江鸡产业“延链补链强链”提升，构建“湛江鸡主导、红橙产业辅助”的现代化产业体系，实现片区“产业－生态－人才－治理”全域振兴。重点建设内容：产业配套板块父母代种鸡场、湛江鸡集约化育雏育成中心、湛江鸡育繁推建设项目；循环经济板块“生态家庭农场集群”；基础提升板块“廉江市石颈镇典型村片区道路基础设施提升及农房风貌提升项目”。构建“龙头企业+基地+农户”“企业+种养殖大户”“企业+合作社+农户”“企业+基地+农户”等联农带农模式，建立订单合同型运作方式、股份合作型运作方式、服务协作型运作方式、全产业链就业型运作方式等利益联结机制，带动农户增收就业，以“政府主导+市场化”的运营保障“双引擎”，实行“补改投”资产收益反哺乡村，打造粤西乡村振兴示范片区。</w:t>
      </w:r>
    </w:p>
    <w:p w14:paraId="24EF56E5">
      <w:pPr>
        <w:keepNext w:val="0"/>
        <w:keepLines w:val="0"/>
        <w:pageBreakBefore w:val="0"/>
        <w:widowControl w:val="0"/>
        <w:numPr>
          <w:numId w:val="0"/>
        </w:numPr>
        <w:kinsoku/>
        <w:wordWrap/>
        <w:overflowPunct/>
        <w:topLinePunct w:val="0"/>
        <w:autoSpaceDE/>
        <w:autoSpaceDN/>
        <w:bidi w:val="0"/>
        <w:spacing w:line="540" w:lineRule="exact"/>
        <w:ind w:left="630" w:leftChars="0"/>
        <w:textAlignment w:val="auto"/>
        <w:rPr>
          <w:rFonts w:hint="eastAsia" w:ascii="仿宋_GB2312" w:hAnsi="仿宋_GB2312" w:eastAsia="仿宋_GB2312"/>
          <w:kern w:val="1"/>
          <w:sz w:val="32"/>
          <w:szCs w:val="32"/>
        </w:rPr>
      </w:pPr>
      <w:r>
        <w:rPr>
          <w:rFonts w:hint="eastAsia" w:ascii="楷体_GB2312" w:hAnsi="楷体_GB2312" w:eastAsia="楷体_GB2312" w:cs="楷体_GB2312"/>
          <w:b w:val="0"/>
          <w:bCs w:val="0"/>
          <w:color w:val="auto"/>
          <w:kern w:val="1"/>
          <w:sz w:val="32"/>
          <w:szCs w:val="32"/>
          <w:lang w:eastAsia="zh-CN"/>
        </w:rPr>
        <w:t>（二）</w:t>
      </w:r>
      <w:r>
        <w:rPr>
          <w:rFonts w:hint="eastAsia" w:ascii="楷体_GB2312" w:hAnsi="楷体_GB2312" w:eastAsia="楷体_GB2312" w:cs="楷体_GB2312"/>
          <w:b w:val="0"/>
          <w:bCs w:val="0"/>
          <w:color w:val="auto"/>
          <w:kern w:val="1"/>
          <w:sz w:val="32"/>
          <w:szCs w:val="32"/>
        </w:rPr>
        <w:t>评价年度项目绩效目标设定情况。</w:t>
      </w:r>
    </w:p>
    <w:p w14:paraId="657829F8">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石颈镇典型村片区培育项目通过产业延链补链强链提升与片区内乡村建设实施，力争在2年内实现以下综合绩效：湛江鸡主导产业总产值实现年均增长8%；3-5年内，年均增长达到15%；5-10年，主导产业总产值在现有基础上实现翻番，达到36亿元，形成具有较强市场竞争力的产业集群。在项目实施期间，培育农业产业化龙头企业3-5家，其中省级以上龙头企业1-2家；新增农民专业合作社15-20家，家庭农场20-30家，提高农业生产组织化程度，增强市场主体带动能力。通过完善创业环境、提供政策扶持和创业培训等措施，吸引返乡下乡创业人员50-80人。带动形成一批农村创新创业项目，促进农村产业多元化发展。直接带动当地农民就业500-800人以上，其中长期稳定就业岗位100-200个。间接带动周边农民就业3000-5000人，通过产业辐射效应，增加农民收入渠道，提高农民收入水平。伴随廉江市石颈镇典型村片区培育项目建设实施，大力推进片区人居环境提升、农房风貌管控和村庄绿化美化水平，片区内村庄绿化率将达到45%以上，森林覆盖率保持稳定增长。</w:t>
      </w:r>
    </w:p>
    <w:p w14:paraId="2031B02B">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二、绩效自评工作开展情况</w:t>
      </w:r>
    </w:p>
    <w:p w14:paraId="293A8EB4">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自评对象为廉江市典型村片区项目。自评范围</w:t>
      </w:r>
      <w:r>
        <w:rPr>
          <w:rFonts w:hint="eastAsia" w:ascii="仿宋_GB2312" w:hAnsi="仿宋_GB2312" w:eastAsia="仿宋_GB2312"/>
          <w:kern w:val="1"/>
          <w:sz w:val="32"/>
          <w:szCs w:val="32"/>
          <w:lang w:eastAsia="zh-CN"/>
        </w:rPr>
        <w:t>覆盖</w:t>
      </w:r>
      <w:r>
        <w:rPr>
          <w:rFonts w:hint="eastAsia" w:ascii="仿宋_GB2312" w:hAnsi="仿宋_GB2312" w:eastAsia="仿宋_GB2312"/>
          <w:kern w:val="1"/>
          <w:sz w:val="32"/>
          <w:szCs w:val="32"/>
        </w:rPr>
        <w:t>项目筹备到</w:t>
      </w:r>
      <w:r>
        <w:rPr>
          <w:rFonts w:hint="eastAsia" w:ascii="仿宋_GB2312" w:hAnsi="仿宋_GB2312" w:eastAsia="仿宋_GB2312"/>
          <w:kern w:val="1"/>
          <w:sz w:val="32"/>
          <w:szCs w:val="32"/>
          <w:lang w:eastAsia="zh-CN"/>
        </w:rPr>
        <w:t>验收成果</w:t>
      </w:r>
      <w:r>
        <w:rPr>
          <w:rFonts w:hint="eastAsia" w:ascii="仿宋_GB2312" w:hAnsi="仿宋_GB2312" w:eastAsia="仿宋_GB2312"/>
          <w:kern w:val="1"/>
          <w:sz w:val="32"/>
          <w:szCs w:val="32"/>
        </w:rPr>
        <w:t>的全过程。评价指标体系围绕项目绩效目标设定，涵盖项目完成进度、质量把控、资金使用效率、环境效益及社会效益等多个维度。标准则依据行业规范、政策要求及项目实际需求综合制定，确保评价结果客观。评价通过实地考察、数据收集、问卷调查及专家评审等手段，全面评估项目绩效。自评工作组织方面，由市农业农村局业务部门、财务部门联合</w:t>
      </w:r>
      <w:r>
        <w:rPr>
          <w:rFonts w:hint="eastAsia" w:ascii="仿宋_GB2312" w:hAnsi="仿宋_GB2312" w:eastAsia="仿宋_GB2312"/>
          <w:kern w:val="1"/>
          <w:sz w:val="32"/>
          <w:szCs w:val="32"/>
          <w:lang w:eastAsia="zh-CN"/>
        </w:rPr>
        <w:t>石颈</w:t>
      </w:r>
      <w:r>
        <w:rPr>
          <w:rFonts w:hint="eastAsia" w:ascii="仿宋_GB2312" w:hAnsi="仿宋_GB2312" w:eastAsia="仿宋_GB2312"/>
          <w:kern w:val="1"/>
          <w:sz w:val="32"/>
          <w:szCs w:val="32"/>
        </w:rPr>
        <w:t>镇人民政府</w:t>
      </w:r>
      <w:r>
        <w:rPr>
          <w:rFonts w:hint="eastAsia" w:ascii="仿宋_GB2312" w:hAnsi="仿宋_GB2312" w:eastAsia="仿宋_GB2312"/>
          <w:kern w:val="1"/>
          <w:sz w:val="32"/>
          <w:szCs w:val="32"/>
          <w:lang w:eastAsia="zh-CN"/>
        </w:rPr>
        <w:t>以及片区内各</w:t>
      </w:r>
      <w:r>
        <w:rPr>
          <w:rFonts w:hint="eastAsia" w:ascii="仿宋_GB2312" w:hAnsi="仿宋_GB2312" w:eastAsia="仿宋_GB2312"/>
          <w:kern w:val="1"/>
          <w:sz w:val="32"/>
          <w:szCs w:val="32"/>
        </w:rPr>
        <w:t>村委会，按照职责分工，确保自评工作有序推进。</w:t>
      </w:r>
    </w:p>
    <w:p w14:paraId="204F8F97">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三、绩效自评结果</w:t>
      </w:r>
    </w:p>
    <w:p w14:paraId="3E8DD90E">
      <w:pPr>
        <w:tabs>
          <w:tab w:val="left" w:pos="7080"/>
        </w:tabs>
        <w:ind w:firstLine="640" w:firstLineChars="200"/>
        <w:outlineLvl w:val="0"/>
        <w:rPr>
          <w:rFonts w:ascii="仿宋_GB2312" w:hAnsi="仿宋_GB2312" w:eastAsia="仿宋_GB2312"/>
          <w:kern w:val="1"/>
          <w:sz w:val="32"/>
          <w:szCs w:val="32"/>
        </w:rPr>
      </w:pPr>
      <w:r>
        <w:rPr>
          <w:rFonts w:hint="eastAsia" w:ascii="仿宋_GB2312" w:hAnsi="仿宋_GB2312" w:eastAsia="仿宋_GB2312"/>
          <w:kern w:val="1"/>
          <w:sz w:val="32"/>
          <w:szCs w:val="32"/>
        </w:rPr>
        <w:t>本次绩效自评</w:t>
      </w:r>
      <w:r>
        <w:rPr>
          <w:rFonts w:hint="eastAsia" w:ascii="仿宋_GB2312" w:hAnsi="仿宋_GB2312" w:eastAsia="仿宋_GB2312"/>
          <w:kern w:val="1"/>
          <w:sz w:val="32"/>
          <w:szCs w:val="32"/>
          <w:lang w:val="en-US" w:eastAsia="zh-CN"/>
        </w:rPr>
        <w:t>100</w:t>
      </w:r>
      <w:r>
        <w:rPr>
          <w:rFonts w:hint="eastAsia" w:ascii="仿宋_GB2312" w:hAnsi="仿宋_GB2312" w:eastAsia="仿宋_GB2312"/>
          <w:kern w:val="1"/>
          <w:sz w:val="32"/>
          <w:szCs w:val="32"/>
        </w:rPr>
        <w:t>分</w:t>
      </w:r>
      <w:r>
        <w:rPr>
          <w:rFonts w:hint="eastAsia" w:ascii="仿宋_GB2312" w:hAnsi="仿宋_GB2312" w:eastAsia="仿宋_GB2312"/>
          <w:kern w:val="1"/>
          <w:sz w:val="32"/>
          <w:szCs w:val="32"/>
          <w:lang w:eastAsia="zh-CN"/>
        </w:rPr>
        <w:t>，等级为优</w:t>
      </w:r>
      <w:r>
        <w:rPr>
          <w:rFonts w:hint="eastAsia" w:ascii="仿宋_GB2312" w:hAnsi="仿宋_GB2312" w:eastAsia="仿宋_GB2312"/>
          <w:kern w:val="1"/>
          <w:sz w:val="32"/>
          <w:szCs w:val="32"/>
        </w:rPr>
        <w:t>。</w:t>
      </w:r>
      <w:r>
        <w:rPr>
          <w:rFonts w:hint="eastAsia" w:ascii="仿宋_GB2312" w:eastAsia="仿宋_GB2312"/>
          <w:sz w:val="32"/>
          <w:szCs w:val="32"/>
        </w:rPr>
        <w:t>粤财农〔2025〕137号廉江市典型村片区培育项目资金</w:t>
      </w:r>
      <w:r>
        <w:rPr>
          <w:rFonts w:hint="eastAsia" w:ascii="仿宋_GB2312" w:hAnsi="仿宋_GB2312" w:eastAsia="仿宋_GB2312"/>
          <w:kern w:val="1"/>
          <w:sz w:val="32"/>
          <w:szCs w:val="32"/>
        </w:rPr>
        <w:t>全部下拨至</w:t>
      </w:r>
      <w:r>
        <w:rPr>
          <w:rFonts w:hint="eastAsia" w:ascii="仿宋_GB2312" w:hAnsi="仿宋_GB2312" w:eastAsia="仿宋_GB2312"/>
          <w:kern w:val="1"/>
          <w:sz w:val="32"/>
          <w:szCs w:val="32"/>
          <w:lang w:eastAsia="zh-CN"/>
        </w:rPr>
        <w:t>石颈镇。财政资金部分按时间节点稳步投入使用。</w:t>
      </w:r>
    </w:p>
    <w:p w14:paraId="3ECA5CA5">
      <w:pPr>
        <w:numPr>
          <w:ilvl w:val="0"/>
          <w:numId w:val="1"/>
        </w:num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项目资金使用绩效</w:t>
      </w:r>
    </w:p>
    <w:p w14:paraId="4306B938">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（一）资金投入情况</w:t>
      </w:r>
    </w:p>
    <w:p w14:paraId="4261BE8C">
      <w:pPr>
        <w:spacing w:line="600" w:lineRule="exact"/>
        <w:ind w:firstLine="600"/>
        <w:rPr>
          <w:rFonts w:ascii="仿宋_GB2312" w:hAnsi="仿宋_GB2312" w:eastAsia="仿宋_GB2312"/>
          <w:kern w:val="1"/>
          <w:sz w:val="32"/>
          <w:szCs w:val="32"/>
        </w:rPr>
      </w:pPr>
      <w:r>
        <w:rPr>
          <w:rFonts w:hint="eastAsia" w:ascii="仿宋_GB2312" w:hAnsi="仿宋_GB2312" w:eastAsia="仿宋_GB2312"/>
          <w:kern w:val="1"/>
          <w:sz w:val="32"/>
          <w:szCs w:val="32"/>
        </w:rPr>
        <w:t>1.资金到位情况。</w:t>
      </w:r>
    </w:p>
    <w:p w14:paraId="3CA648E5">
      <w:pPr>
        <w:spacing w:line="530" w:lineRule="exact"/>
        <w:ind w:firstLine="640"/>
        <w:rPr>
          <w:rFonts w:hint="eastAsia" w:ascii="仿宋_GB2312" w:hAnsi="仿宋_GB2312" w:eastAsia="仿宋_GB2312" w:cs="仿宋_GB2312"/>
          <w:color w:val="000000"/>
          <w:sz w:val="32"/>
          <w:szCs w:val="32"/>
        </w:rPr>
      </w:pPr>
      <w:r>
        <w:rPr>
          <w:rFonts w:hint="eastAsia" w:ascii="仿宋_GB2312" w:eastAsia="仿宋_GB2312"/>
          <w:sz w:val="32"/>
          <w:szCs w:val="32"/>
          <w:lang w:eastAsia="zh-CN"/>
        </w:rPr>
        <w:t>廉江市典型村片区</w:t>
      </w:r>
      <w:r>
        <w:rPr>
          <w:rFonts w:hint="eastAsia" w:ascii="仿宋_GB2312" w:eastAsia="仿宋_GB2312"/>
          <w:sz w:val="32"/>
          <w:szCs w:val="32"/>
        </w:rPr>
        <w:t>项目预算</w:t>
      </w:r>
      <w:r>
        <w:rPr>
          <w:rFonts w:hint="eastAsia" w:ascii="仿宋_GB2312" w:eastAsia="仿宋_GB2312"/>
          <w:sz w:val="32"/>
          <w:szCs w:val="32"/>
          <w:lang w:eastAsia="zh-CN"/>
        </w:rPr>
        <w:t>已下达</w:t>
      </w:r>
      <w:r>
        <w:rPr>
          <w:rFonts w:hint="eastAsia" w:ascii="仿宋_GB2312" w:eastAsia="仿宋_GB2312"/>
          <w:sz w:val="32"/>
          <w:szCs w:val="32"/>
        </w:rPr>
        <w:t>资金</w:t>
      </w:r>
      <w:r>
        <w:rPr>
          <w:rFonts w:hint="eastAsia" w:ascii="仿宋_GB2312" w:eastAsia="仿宋_GB2312"/>
          <w:sz w:val="32"/>
          <w:szCs w:val="32"/>
          <w:lang w:val="en-US" w:eastAsia="zh-CN"/>
        </w:rPr>
        <w:t>3000</w:t>
      </w:r>
      <w:r>
        <w:rPr>
          <w:rFonts w:hint="eastAsia" w:ascii="仿宋_GB2312" w:eastAsia="仿宋_GB2312"/>
          <w:sz w:val="32"/>
          <w:szCs w:val="32"/>
        </w:rPr>
        <w:t>万元已全部到位并</w:t>
      </w:r>
      <w:r>
        <w:rPr>
          <w:rFonts w:hint="eastAsia" w:ascii="仿宋_GB2312" w:eastAsia="仿宋_GB2312"/>
          <w:sz w:val="32"/>
          <w:szCs w:val="32"/>
          <w:lang w:eastAsia="zh-CN"/>
        </w:rPr>
        <w:t>拨付到石颈</w:t>
      </w:r>
      <w:r>
        <w:rPr>
          <w:rFonts w:hint="eastAsia" w:ascii="仿宋_GB2312" w:eastAsia="仿宋_GB2312"/>
          <w:sz w:val="32"/>
          <w:szCs w:val="32"/>
        </w:rPr>
        <w:t>镇。</w:t>
      </w:r>
    </w:p>
    <w:p w14:paraId="7E29032B">
      <w:pPr>
        <w:spacing w:line="600" w:lineRule="exact"/>
        <w:ind w:firstLine="600"/>
        <w:rPr>
          <w:rFonts w:ascii="仿宋_GB2312" w:hAnsi="仿宋_GB2312" w:eastAsia="仿宋_GB2312"/>
          <w:kern w:val="1"/>
          <w:sz w:val="32"/>
          <w:szCs w:val="32"/>
        </w:rPr>
      </w:pPr>
      <w:r>
        <w:rPr>
          <w:rFonts w:hint="eastAsia" w:ascii="仿宋_GB2312" w:hAnsi="仿宋_GB2312" w:eastAsia="仿宋_GB2312"/>
          <w:kern w:val="1"/>
          <w:sz w:val="32"/>
          <w:szCs w:val="32"/>
        </w:rPr>
        <w:t>2.资金执行情况。</w:t>
      </w:r>
    </w:p>
    <w:p w14:paraId="77835E31">
      <w:pPr>
        <w:spacing w:line="600" w:lineRule="exact"/>
        <w:ind w:firstLine="600"/>
        <w:rPr>
          <w:rFonts w:hint="eastAsia" w:ascii="仿宋_GB2312" w:hAnsi="仿宋_GB2312" w:eastAsia="仿宋_GB2312" w:cs="Times New Roman"/>
          <w:kern w:val="1"/>
          <w:sz w:val="32"/>
          <w:szCs w:val="32"/>
          <w:lang w:eastAsia="zh-CN"/>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szCs w:val="32"/>
          <w:lang w:val="en-US" w:eastAsia="zh-CN"/>
        </w:rPr>
        <w:t>2026</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日，</w:t>
      </w:r>
      <w:r>
        <w:rPr>
          <w:rFonts w:hint="eastAsia" w:ascii="仿宋_GB2312" w:eastAsia="仿宋_GB2312"/>
          <w:sz w:val="32"/>
          <w:szCs w:val="32"/>
          <w:lang w:eastAsia="zh-CN"/>
        </w:rPr>
        <w:t>廉江市典型村片区</w:t>
      </w:r>
      <w:r>
        <w:rPr>
          <w:rFonts w:hint="eastAsia" w:ascii="仿宋_GB2312" w:eastAsia="仿宋_GB2312"/>
          <w:sz w:val="32"/>
          <w:szCs w:val="32"/>
        </w:rPr>
        <w:t>项目</w:t>
      </w:r>
      <w:r>
        <w:rPr>
          <w:rFonts w:hint="eastAsia" w:ascii="仿宋_GB2312" w:eastAsia="仿宋_GB2312"/>
          <w:sz w:val="32"/>
          <w:szCs w:val="32"/>
          <w:lang w:val="en-US" w:eastAsia="zh-CN"/>
        </w:rPr>
        <w:t>3000万元，</w:t>
      </w:r>
      <w:r>
        <w:rPr>
          <w:rFonts w:hint="eastAsia" w:ascii="仿宋_GB2312" w:eastAsia="仿宋_GB2312"/>
          <w:sz w:val="32"/>
          <w:szCs w:val="32"/>
        </w:rPr>
        <w:t>项目预算</w:t>
      </w:r>
      <w:r>
        <w:rPr>
          <w:rFonts w:hint="eastAsia" w:ascii="仿宋_GB2312" w:eastAsia="仿宋_GB2312"/>
          <w:sz w:val="32"/>
          <w:szCs w:val="32"/>
          <w:lang w:val="en-US" w:eastAsia="zh-CN"/>
        </w:rPr>
        <w:t>3000</w:t>
      </w:r>
      <w:r>
        <w:rPr>
          <w:rFonts w:hint="eastAsia" w:ascii="仿宋_GB2312" w:eastAsia="仿宋_GB2312"/>
          <w:sz w:val="32"/>
          <w:szCs w:val="32"/>
        </w:rPr>
        <w:t>万元已支出</w:t>
      </w:r>
      <w:r>
        <w:rPr>
          <w:rFonts w:hint="eastAsia" w:ascii="仿宋_GB2312" w:eastAsia="仿宋_GB2312"/>
          <w:sz w:val="32"/>
          <w:szCs w:val="32"/>
          <w:lang w:val="en-US" w:eastAsia="zh-CN"/>
        </w:rPr>
        <w:t>3000</w:t>
      </w:r>
      <w:r>
        <w:rPr>
          <w:rFonts w:hint="eastAsia" w:ascii="仿宋_GB2312" w:eastAsia="仿宋_GB2312"/>
          <w:sz w:val="32"/>
          <w:szCs w:val="32"/>
          <w:lang w:eastAsia="zh-CN"/>
        </w:rPr>
        <w:t>万元</w:t>
      </w:r>
      <w:r>
        <w:rPr>
          <w:rFonts w:hint="eastAsia" w:ascii="仿宋_GB2312" w:eastAsia="仿宋_GB2312"/>
          <w:sz w:val="32"/>
          <w:szCs w:val="32"/>
        </w:rPr>
        <w:t>，</w:t>
      </w:r>
      <w:r>
        <w:rPr>
          <w:rFonts w:hint="eastAsia" w:ascii="仿宋_GB2312" w:hAnsi="仿宋_GB2312" w:eastAsia="仿宋_GB2312" w:cs="仿宋_GB2312"/>
          <w:color w:val="000000"/>
          <w:sz w:val="32"/>
          <w:szCs w:val="32"/>
        </w:rPr>
        <w:t>预算执行率</w:t>
      </w:r>
      <w:r>
        <w:rPr>
          <w:rFonts w:hint="eastAsia" w:ascii="仿宋_GB2312" w:hAnsi="仿宋_GB2312" w:eastAsia="仿宋_GB2312" w:cs="仿宋_GB2312"/>
          <w:color w:val="000000"/>
          <w:sz w:val="32"/>
          <w:szCs w:val="32"/>
          <w:lang w:eastAsia="zh-CN"/>
        </w:rPr>
        <w:t>已达</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 xml:space="preserve">%。 </w:t>
      </w:r>
    </w:p>
    <w:p w14:paraId="48CBF608">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（二）绩效目标完成情况（结合项目实际，可从总体和分用途分析项目使用绩效）</w:t>
      </w:r>
    </w:p>
    <w:p w14:paraId="3F05B1B0">
      <w:pPr>
        <w:spacing w:line="600" w:lineRule="exact"/>
        <w:ind w:firstLine="600"/>
        <w:rPr>
          <w:rFonts w:hint="eastAsia" w:ascii="仿宋_GB2312" w:hAnsi="仿宋_GB2312" w:eastAsia="仿宋_GB2312"/>
          <w:kern w:val="1"/>
          <w:sz w:val="32"/>
          <w:szCs w:val="32"/>
          <w:lang w:eastAsia="zh-CN"/>
        </w:rPr>
      </w:pPr>
      <w:r>
        <w:rPr>
          <w:rFonts w:hint="eastAsia" w:ascii="仿宋_GB2312" w:hAnsi="仿宋_GB2312" w:eastAsia="仿宋_GB2312"/>
          <w:kern w:val="1"/>
          <w:sz w:val="32"/>
          <w:szCs w:val="32"/>
          <w:lang w:eastAsia="zh-CN"/>
        </w:rPr>
        <w:t>该项目正在建设中，绩效目标按时间节点逐步完成。</w:t>
      </w:r>
    </w:p>
    <w:p w14:paraId="53D5437C">
      <w:pPr>
        <w:spacing w:line="600" w:lineRule="exact"/>
        <w:ind w:firstLine="600"/>
        <w:rPr>
          <w:rFonts w:hint="eastAsia" w:ascii="黑体" w:hAnsi="黑体" w:eastAsia="黑体" w:cs="黑体"/>
          <w:kern w:val="1"/>
          <w:sz w:val="32"/>
          <w:szCs w:val="32"/>
        </w:rPr>
      </w:pPr>
    </w:p>
    <w:p w14:paraId="53332B27">
      <w:pPr>
        <w:spacing w:line="600" w:lineRule="exact"/>
        <w:ind w:firstLine="600"/>
        <w:rPr>
          <w:rFonts w:hint="eastAsia" w:ascii="黑体" w:hAnsi="黑体" w:eastAsia="黑体" w:cs="黑体"/>
          <w:kern w:val="1"/>
          <w:sz w:val="32"/>
          <w:szCs w:val="32"/>
          <w:lang w:eastAsia="zh-CN"/>
        </w:rPr>
      </w:pPr>
      <w:r>
        <w:rPr>
          <w:rFonts w:hint="eastAsia" w:ascii="黑体" w:hAnsi="黑体" w:eastAsia="黑体" w:cs="黑体"/>
          <w:kern w:val="1"/>
          <w:sz w:val="32"/>
          <w:szCs w:val="32"/>
        </w:rPr>
        <w:t>五、主要存在问题</w:t>
      </w:r>
      <w:r>
        <w:rPr>
          <w:rFonts w:hint="eastAsia" w:ascii="黑体" w:hAnsi="黑体" w:eastAsia="黑体" w:cs="黑体"/>
          <w:kern w:val="1"/>
          <w:sz w:val="32"/>
          <w:szCs w:val="32"/>
          <w:lang w:eastAsia="zh-CN"/>
        </w:rPr>
        <w:t>以及改进</w:t>
      </w:r>
      <w:bookmarkStart w:id="0" w:name="_GoBack"/>
      <w:bookmarkEnd w:id="0"/>
    </w:p>
    <w:p w14:paraId="7ABB8C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合作方案</w:t>
      </w:r>
      <w:r>
        <w:rPr>
          <w:rFonts w:hint="eastAsia" w:ascii="仿宋_GB2312" w:hAnsi="仿宋_GB2312" w:eastAsia="仿宋_GB2312" w:cs="仿宋_GB2312"/>
          <w:b w:val="0"/>
          <w:bCs w:val="0"/>
          <w:sz w:val="32"/>
          <w:szCs w:val="32"/>
          <w:lang w:eastAsia="zh-CN"/>
        </w:rPr>
        <w:t>未定。合作规则空白，</w:t>
      </w:r>
      <w:r>
        <w:rPr>
          <w:rFonts w:hint="eastAsia" w:ascii="仿宋_GB2312" w:hAnsi="仿宋_GB2312" w:eastAsia="仿宋_GB2312" w:cs="仿宋_GB2312"/>
          <w:sz w:val="32"/>
          <w:szCs w:val="32"/>
        </w:rPr>
        <w:t>国有股权操作规则空白：县级层面缺乏 “补改投” 成熟操作案例，对财政资金注资平台公司的流程（是否需公开招标、股权如何评估、国有资产如何监管、资金如何记账）无明确指引，相关部门怕操作不合规被审计问责，不敢贸然敲定合作方案</w:t>
      </w:r>
      <w:r>
        <w:rPr>
          <w:rFonts w:hint="eastAsia" w:ascii="仿宋_GB2312" w:hAnsi="仿宋_GB2312" w:eastAsia="仿宋_GB2312" w:cs="仿宋_GB2312"/>
          <w:sz w:val="32"/>
          <w:szCs w:val="32"/>
          <w:lang w:eastAsia="zh-CN"/>
        </w:rPr>
        <w:t>，资金使用方式及后期监管方案欠缺。</w:t>
      </w:r>
    </w:p>
    <w:p w14:paraId="52575C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lang w:val="en-US" w:eastAsia="zh-CN"/>
        </w:rPr>
        <w:t>2.收益分配未定。</w:t>
      </w:r>
      <w:r>
        <w:rPr>
          <w:rFonts w:hint="eastAsia" w:ascii="仿宋_GB2312" w:hAnsi="仿宋_GB2312" w:eastAsia="仿宋_GB2312" w:cs="仿宋_GB2312"/>
          <w:sz w:val="32"/>
          <w:szCs w:val="32"/>
        </w:rPr>
        <w:t>财政 “补改投” 形成的股权属于国有</w:t>
      </w:r>
      <w:r>
        <w:rPr>
          <w:rFonts w:hint="eastAsia" w:ascii="仿宋_GB2312" w:hAnsi="仿宋_GB2312" w:eastAsia="仿宋_GB2312" w:cs="仿宋_GB2312"/>
          <w:sz w:val="32"/>
          <w:szCs w:val="32"/>
          <w:lang w:eastAsia="zh-CN"/>
        </w:rPr>
        <w:t>或</w:t>
      </w:r>
      <w:r>
        <w:rPr>
          <w:rFonts w:hint="eastAsia" w:ascii="仿宋_GB2312" w:hAnsi="仿宋_GB2312" w:eastAsia="仿宋_GB2312" w:cs="仿宋_GB2312"/>
          <w:sz w:val="32"/>
          <w:szCs w:val="32"/>
        </w:rPr>
        <w:t>集体资产，其收益分配比例未形成共识：收益向</w:t>
      </w:r>
      <w:r>
        <w:rPr>
          <w:rFonts w:hint="eastAsia" w:ascii="仿宋_GB2312" w:hAnsi="仿宋_GB2312" w:eastAsia="仿宋_GB2312" w:cs="仿宋_GB2312"/>
          <w:sz w:val="32"/>
          <w:szCs w:val="32"/>
          <w:lang w:eastAsia="zh-CN"/>
        </w:rPr>
        <w:t>社会资本</w:t>
      </w:r>
      <w:r>
        <w:rPr>
          <w:rFonts w:hint="eastAsia" w:ascii="仿宋_GB2312" w:hAnsi="仿宋_GB2312" w:eastAsia="仿宋_GB2312" w:cs="仿宋_GB2312"/>
          <w:sz w:val="32"/>
          <w:szCs w:val="32"/>
        </w:rPr>
        <w:t>倾斜则无法通过联农验收，收益向村集体</w:t>
      </w:r>
      <w:r>
        <w:rPr>
          <w:rFonts w:hint="eastAsia" w:ascii="仿宋_GB2312" w:hAnsi="仿宋_GB2312" w:eastAsia="仿宋_GB2312" w:cs="仿宋_GB2312"/>
          <w:sz w:val="32"/>
          <w:szCs w:val="32"/>
          <w:lang w:eastAsia="zh-CN"/>
        </w:rPr>
        <w:t>或</w:t>
      </w:r>
      <w:r>
        <w:rPr>
          <w:rFonts w:hint="eastAsia" w:ascii="仿宋_GB2312" w:hAnsi="仿宋_GB2312" w:eastAsia="仿宋_GB2312" w:cs="仿宋_GB2312"/>
          <w:sz w:val="32"/>
          <w:szCs w:val="32"/>
        </w:rPr>
        <w:t>农户倾斜则</w:t>
      </w:r>
      <w:r>
        <w:rPr>
          <w:rFonts w:hint="eastAsia" w:ascii="仿宋_GB2312" w:hAnsi="仿宋_GB2312" w:eastAsia="仿宋_GB2312" w:cs="仿宋_GB2312"/>
          <w:sz w:val="32"/>
          <w:szCs w:val="32"/>
          <w:lang w:eastAsia="zh-CN"/>
        </w:rPr>
        <w:t>社会资本收效甚微</w:t>
      </w:r>
      <w:r>
        <w:rPr>
          <w:rFonts w:hint="eastAsia" w:ascii="仿宋_GB2312" w:hAnsi="仿宋_GB2312" w:eastAsia="仿宋_GB2312" w:cs="仿宋_GB2312"/>
          <w:sz w:val="32"/>
          <w:szCs w:val="32"/>
        </w:rPr>
        <w:t>；同时财政股权的表决权、退出机制（如项目盈利后财政是否退出、如何退出）未明确</w:t>
      </w:r>
      <w:r>
        <w:rPr>
          <w:rFonts w:hint="eastAsia" w:ascii="仿宋_GB2312" w:hAnsi="仿宋_GB2312" w:eastAsia="仿宋_GB2312" w:cs="仿宋_GB2312"/>
          <w:sz w:val="32"/>
          <w:szCs w:val="32"/>
          <w:lang w:eastAsia="zh-CN"/>
        </w:rPr>
        <w:t>。</w:t>
      </w:r>
    </w:p>
    <w:p w14:paraId="3ECBFB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3.联农带农方案未定。联农带农具体机制尚未设计，影响项目验收。</w:t>
      </w:r>
    </w:p>
    <w:p w14:paraId="558E14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lang w:eastAsia="zh-CN"/>
        </w:rPr>
        <w:t>资金配套未齐。</w:t>
      </w:r>
      <w:r>
        <w:rPr>
          <w:rFonts w:hint="eastAsia" w:ascii="仿宋_GB2312" w:hAnsi="仿宋_GB2312" w:eastAsia="仿宋_GB2312" w:cs="仿宋_GB2312"/>
          <w:sz w:val="32"/>
          <w:szCs w:val="32"/>
          <w:lang w:eastAsia="zh-CN"/>
        </w:rPr>
        <w:t>财政资金</w:t>
      </w:r>
      <w:r>
        <w:rPr>
          <w:rFonts w:hint="eastAsia" w:ascii="仿宋_GB2312" w:hAnsi="仿宋_GB2312" w:eastAsia="仿宋_GB2312" w:cs="仿宋_GB2312"/>
          <w:sz w:val="32"/>
          <w:szCs w:val="32"/>
          <w:lang w:val="en-US" w:eastAsia="zh-CN"/>
        </w:rPr>
        <w:t>3000万元需要配套6028万元社会性资金，目前仍有2000万资金配套缺口，需加速撬动社会资本填补缺口，确保项目资金链完整。</w:t>
      </w:r>
    </w:p>
    <w:p w14:paraId="53349FA1">
      <w:pPr>
        <w:spacing w:line="600" w:lineRule="exact"/>
        <w:ind w:firstLine="600"/>
        <w:rPr>
          <w:rFonts w:hint="eastAsia" w:ascii="仿宋_GB2312" w:hAnsi="仿宋_GB2312" w:eastAsia="仿宋_GB2312"/>
          <w:kern w:val="1"/>
          <w:sz w:val="32"/>
          <w:szCs w:val="32"/>
          <w:lang w:eastAsia="zh-CN"/>
        </w:rPr>
      </w:pPr>
    </w:p>
    <w:p w14:paraId="54A3EC33">
      <w:pPr>
        <w:spacing w:line="600" w:lineRule="exact"/>
        <w:ind w:firstLine="600"/>
        <w:rPr>
          <w:rFonts w:hint="eastAsia" w:ascii="仿宋_GB2312" w:hAnsi="仿宋_GB2312" w:eastAsia="仿宋_GB2312"/>
          <w:kern w:val="1"/>
          <w:sz w:val="32"/>
          <w:szCs w:val="32"/>
          <w:lang w:eastAsia="zh-CN"/>
        </w:rPr>
      </w:pPr>
    </w:p>
    <w:p w14:paraId="17708E58">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七、绩效自评结果拟应用和公开情况</w:t>
      </w:r>
    </w:p>
    <w:p w14:paraId="1D5C9009">
      <w:pPr>
        <w:spacing w:line="530" w:lineRule="exact"/>
        <w:ind w:firstLine="641"/>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（一）绩效自评结果拟应用。</w:t>
      </w:r>
    </w:p>
    <w:p w14:paraId="5C4F4AE2">
      <w:pPr>
        <w:spacing w:line="530" w:lineRule="exact"/>
        <w:ind w:firstLine="640"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rPr>
        <w:t>1.</w:t>
      </w:r>
      <w:r>
        <w:rPr>
          <w:rFonts w:ascii="仿宋_GB2312" w:hAnsi="仿宋_GB2312" w:eastAsia="仿宋_GB2312" w:cs="仿宋_GB2312"/>
          <w:color w:val="000000"/>
          <w:sz w:val="32"/>
          <w:szCs w:val="32"/>
        </w:rPr>
        <w:t>将资金绩效</w:t>
      </w:r>
      <w:r>
        <w:rPr>
          <w:rFonts w:hint="eastAsia" w:ascii="仿宋_GB2312" w:hAnsi="仿宋_GB2312" w:eastAsia="仿宋_GB2312" w:cs="仿宋_GB2312"/>
          <w:color w:val="000000"/>
          <w:sz w:val="32"/>
          <w:szCs w:val="32"/>
        </w:rPr>
        <w:t>自评</w:t>
      </w:r>
      <w:r>
        <w:rPr>
          <w:rFonts w:ascii="仿宋_GB2312" w:hAnsi="仿宋_GB2312" w:eastAsia="仿宋_GB2312" w:cs="仿宋_GB2312"/>
          <w:color w:val="000000"/>
          <w:sz w:val="32"/>
          <w:szCs w:val="32"/>
        </w:rPr>
        <w:t>结果及时反馈</w:t>
      </w:r>
      <w:r>
        <w:rPr>
          <w:rFonts w:hint="eastAsia" w:ascii="仿宋_GB2312" w:hAnsi="仿宋_GB2312" w:eastAsia="仿宋_GB2312" w:cs="仿宋_GB2312"/>
          <w:color w:val="000000"/>
          <w:sz w:val="32"/>
          <w:szCs w:val="32"/>
        </w:rPr>
        <w:t>相关</w:t>
      </w:r>
      <w:r>
        <w:rPr>
          <w:rFonts w:ascii="仿宋_GB2312" w:hAnsi="仿宋_GB2312" w:eastAsia="仿宋_GB2312" w:cs="仿宋_GB2312"/>
          <w:color w:val="000000"/>
          <w:sz w:val="32"/>
          <w:szCs w:val="32"/>
        </w:rPr>
        <w:t>单位，督促其整改</w:t>
      </w:r>
      <w:r>
        <w:rPr>
          <w:rFonts w:hint="eastAsia" w:ascii="仿宋_GB2312" w:hAnsi="仿宋_GB2312" w:eastAsia="仿宋_GB2312" w:cs="仿宋_GB2312"/>
          <w:color w:val="000000"/>
          <w:sz w:val="32"/>
          <w:szCs w:val="32"/>
        </w:rPr>
        <w:t>自评</w:t>
      </w:r>
      <w:r>
        <w:rPr>
          <w:rFonts w:ascii="仿宋_GB2312" w:hAnsi="仿宋_GB2312" w:eastAsia="仿宋_GB2312" w:cs="仿宋_GB2312"/>
          <w:color w:val="000000"/>
          <w:sz w:val="32"/>
          <w:szCs w:val="32"/>
        </w:rPr>
        <w:t>中发现的问题，促进其提高预算管理水平；</w:t>
      </w:r>
    </w:p>
    <w:p w14:paraId="60585BA3">
      <w:pPr>
        <w:spacing w:line="53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ascii="仿宋_GB2312" w:hAnsi="仿宋_GB2312" w:eastAsia="仿宋_GB2312" w:cs="仿宋_GB2312"/>
          <w:color w:val="000000"/>
          <w:sz w:val="32"/>
          <w:szCs w:val="32"/>
        </w:rPr>
        <w:t>将资金绩效</w:t>
      </w:r>
      <w:r>
        <w:rPr>
          <w:rFonts w:hint="eastAsia" w:ascii="仿宋_GB2312" w:hAnsi="仿宋_GB2312" w:eastAsia="仿宋_GB2312" w:cs="仿宋_GB2312"/>
          <w:color w:val="000000"/>
          <w:sz w:val="32"/>
          <w:szCs w:val="32"/>
        </w:rPr>
        <w:t>自评</w:t>
      </w:r>
      <w:r>
        <w:rPr>
          <w:rFonts w:ascii="仿宋_GB2312" w:hAnsi="仿宋_GB2312" w:eastAsia="仿宋_GB2312" w:cs="仿宋_GB2312"/>
          <w:color w:val="000000"/>
          <w:sz w:val="32"/>
          <w:szCs w:val="32"/>
        </w:rPr>
        <w:t>报告向市政府或涉农资金领导机构报送，为其决策提供依据；</w:t>
      </w:r>
    </w:p>
    <w:p w14:paraId="2D8C7A32">
      <w:pPr>
        <w:spacing w:line="530" w:lineRule="exact"/>
        <w:ind w:firstLine="640"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rPr>
        <w:t>3.</w:t>
      </w:r>
      <w:r>
        <w:rPr>
          <w:rFonts w:ascii="仿宋_GB2312" w:hAnsi="仿宋_GB2312" w:eastAsia="仿宋_GB2312" w:cs="仿宋_GB2312"/>
          <w:color w:val="000000"/>
          <w:sz w:val="32"/>
          <w:szCs w:val="32"/>
        </w:rPr>
        <w:t>建立绩效评价结果和预算安排有机结合机制，将</w:t>
      </w:r>
      <w:r>
        <w:rPr>
          <w:rFonts w:hint="eastAsia" w:ascii="仿宋_GB2312" w:hAnsi="仿宋_GB2312" w:eastAsia="仿宋_GB2312" w:cs="仿宋_GB2312"/>
          <w:color w:val="000000"/>
          <w:sz w:val="32"/>
          <w:szCs w:val="32"/>
        </w:rPr>
        <w:t>自评</w:t>
      </w:r>
      <w:r>
        <w:rPr>
          <w:rFonts w:ascii="仿宋_GB2312" w:hAnsi="仿宋_GB2312" w:eastAsia="仿宋_GB2312" w:cs="仿宋_GB2312"/>
          <w:color w:val="000000"/>
          <w:sz w:val="32"/>
          <w:szCs w:val="32"/>
        </w:rPr>
        <w:t>结果作为</w:t>
      </w:r>
      <w:r>
        <w:rPr>
          <w:rFonts w:hint="eastAsia" w:ascii="仿宋_GB2312" w:hAnsi="仿宋_GB2312" w:eastAsia="仿宋_GB2312" w:cs="仿宋_GB2312"/>
          <w:color w:val="000000"/>
          <w:sz w:val="32"/>
          <w:szCs w:val="32"/>
        </w:rPr>
        <w:t>后续</w:t>
      </w:r>
      <w:r>
        <w:rPr>
          <w:rFonts w:ascii="仿宋_GB2312" w:hAnsi="仿宋_GB2312" w:eastAsia="仿宋_GB2312" w:cs="仿宋_GB2312"/>
          <w:color w:val="000000"/>
          <w:sz w:val="32"/>
          <w:szCs w:val="32"/>
        </w:rPr>
        <w:t>安排涉农资金的重要依据，绩效</w:t>
      </w:r>
      <w:r>
        <w:rPr>
          <w:rFonts w:hint="eastAsia" w:ascii="仿宋_GB2312" w:hAnsi="仿宋_GB2312" w:eastAsia="仿宋_GB2312" w:cs="仿宋_GB2312"/>
          <w:color w:val="000000"/>
          <w:sz w:val="32"/>
          <w:szCs w:val="32"/>
        </w:rPr>
        <w:t>目标完成较</w:t>
      </w:r>
      <w:r>
        <w:rPr>
          <w:rFonts w:ascii="仿宋_GB2312" w:hAnsi="仿宋_GB2312" w:eastAsia="仿宋_GB2312" w:cs="仿宋_GB2312"/>
          <w:color w:val="000000"/>
          <w:sz w:val="32"/>
          <w:szCs w:val="32"/>
        </w:rPr>
        <w:t>好的</w:t>
      </w:r>
      <w:r>
        <w:rPr>
          <w:rFonts w:hint="eastAsia" w:ascii="仿宋_GB2312" w:hAnsi="仿宋_GB2312" w:eastAsia="仿宋_GB2312" w:cs="仿宋_GB2312"/>
          <w:color w:val="000000"/>
          <w:sz w:val="32"/>
          <w:szCs w:val="32"/>
        </w:rPr>
        <w:t>，资金适当倾斜安排，</w:t>
      </w:r>
      <w:r>
        <w:rPr>
          <w:rFonts w:ascii="仿宋_GB2312" w:hAnsi="仿宋_GB2312" w:eastAsia="仿宋_GB2312" w:cs="仿宋_GB2312"/>
          <w:color w:val="000000"/>
          <w:sz w:val="32"/>
          <w:szCs w:val="32"/>
        </w:rPr>
        <w:t>绩效</w:t>
      </w:r>
      <w:r>
        <w:rPr>
          <w:rFonts w:hint="eastAsia" w:ascii="仿宋_GB2312" w:hAnsi="仿宋_GB2312" w:eastAsia="仿宋_GB2312" w:cs="仿宋_GB2312"/>
          <w:color w:val="000000"/>
          <w:sz w:val="32"/>
          <w:szCs w:val="32"/>
        </w:rPr>
        <w:t>目标完成较差</w:t>
      </w:r>
      <w:r>
        <w:rPr>
          <w:rFonts w:ascii="仿宋_GB2312" w:hAnsi="仿宋_GB2312" w:eastAsia="仿宋_GB2312" w:cs="仿宋_GB2312"/>
          <w:color w:val="000000"/>
          <w:sz w:val="32"/>
          <w:szCs w:val="32"/>
        </w:rPr>
        <w:t>的，原则上不予安排或调减预算</w:t>
      </w:r>
      <w:r>
        <w:rPr>
          <w:rFonts w:hint="eastAsia" w:ascii="仿宋_GB2312" w:hAnsi="仿宋_GB2312" w:eastAsia="仿宋_GB2312" w:cs="仿宋_GB2312"/>
          <w:color w:val="000000"/>
          <w:sz w:val="32"/>
          <w:szCs w:val="32"/>
        </w:rPr>
        <w:t>。</w:t>
      </w:r>
    </w:p>
    <w:p w14:paraId="74A662C9">
      <w:pPr>
        <w:spacing w:line="530" w:lineRule="exact"/>
        <w:ind w:firstLine="641"/>
        <w:rPr>
          <w:rFonts w:ascii="仿宋_GB2312" w:hAnsi="仿宋_GB2312" w:eastAsia="仿宋_GB2312" w:cs="仿宋_GB2312"/>
          <w:color w:val="FF0000"/>
          <w:sz w:val="32"/>
          <w:szCs w:val="32"/>
        </w:rPr>
      </w:pPr>
      <w:r>
        <w:rPr>
          <w:rFonts w:hint="eastAsia" w:ascii="仿宋_GB2312" w:hAnsi="仿宋_GB2312" w:eastAsia="仿宋_GB2312" w:cs="仿宋_GB2312"/>
          <w:b/>
          <w:bCs/>
          <w:color w:val="000000"/>
          <w:sz w:val="32"/>
          <w:szCs w:val="32"/>
        </w:rPr>
        <w:t>（二）公开情况。</w:t>
      </w:r>
      <w:r>
        <w:rPr>
          <w:rFonts w:hint="eastAsia" w:ascii="仿宋_GB2312" w:hAnsi="仿宋_GB2312" w:eastAsia="仿宋_GB2312" w:cs="仿宋_GB2312"/>
          <w:color w:val="000000"/>
          <w:sz w:val="32"/>
          <w:szCs w:val="32"/>
          <w:lang w:eastAsia="zh-CN"/>
        </w:rPr>
        <w:t>未公开</w:t>
      </w:r>
      <w:r>
        <w:rPr>
          <w:rFonts w:hint="eastAsia" w:ascii="仿宋_GB2312" w:hAnsi="仿宋_GB2312" w:eastAsia="仿宋_GB2312" w:cs="仿宋_GB2312"/>
          <w:color w:val="000000"/>
          <w:sz w:val="32"/>
          <w:szCs w:val="32"/>
        </w:rPr>
        <w:t>。</w:t>
      </w:r>
    </w:p>
    <w:p w14:paraId="557576CE">
      <w:pPr>
        <w:snapToGrid w:val="0"/>
        <w:spacing w:line="360" w:lineRule="auto"/>
        <w:ind w:firstLine="640" w:firstLineChars="200"/>
        <w:rPr>
          <w:rFonts w:hint="eastAsia" w:ascii="黑体" w:hAnsi="黑体" w:eastAsia="黑体" w:cs="黑体"/>
          <w:bCs/>
          <w:sz w:val="32"/>
          <w:szCs w:val="32"/>
        </w:rPr>
      </w:pPr>
    </w:p>
    <w:p w14:paraId="42EE15CE">
      <w:pPr>
        <w:snapToGrid w:val="0"/>
        <w:spacing w:line="360" w:lineRule="auto"/>
        <w:rPr>
          <w:rFonts w:hint="eastAsia" w:ascii="黑体" w:hAnsi="黑体" w:eastAsia="黑体" w:cs="黑体"/>
          <w:bCs/>
          <w:sz w:val="32"/>
          <w:szCs w:val="32"/>
        </w:rPr>
      </w:pPr>
    </w:p>
    <w:sectPr>
      <w:headerReference r:id="rId3" w:type="default"/>
      <w:footerReference r:id="rId4" w:type="default"/>
      <w:footerReference r:id="rId5" w:type="even"/>
      <w:pgSz w:w="11906" w:h="16838"/>
      <w:pgMar w:top="1440" w:right="1466"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2DC56">
    <w:pPr>
      <w:pStyle w:val="2"/>
      <w:framePr w:wrap="around" w:vAnchor="text" w:hAnchor="margin" w:xAlign="center" w:y="1"/>
      <w:rPr>
        <w:rStyle w:val="7"/>
      </w:rPr>
    </w:pPr>
    <w:r>
      <w:fldChar w:fldCharType="begin"/>
    </w:r>
    <w:r>
      <w:rPr>
        <w:rStyle w:val="7"/>
      </w:rPr>
      <w:instrText xml:space="preserve">PAGE  </w:instrText>
    </w:r>
    <w:r>
      <w:fldChar w:fldCharType="separate"/>
    </w:r>
    <w:r>
      <w:rPr>
        <w:rStyle w:val="7"/>
        <w:lang/>
      </w:rPr>
      <w:t>4</w:t>
    </w:r>
    <w:r>
      <w:fldChar w:fldCharType="end"/>
    </w:r>
  </w:p>
  <w:p w14:paraId="14997266">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25757">
    <w:pPr>
      <w:pStyle w:val="2"/>
      <w:framePr w:wrap="around" w:vAnchor="text" w:hAnchor="margin" w:xAlign="center" w:y="1"/>
      <w:rPr>
        <w:rStyle w:val="7"/>
      </w:rPr>
    </w:pPr>
    <w:r>
      <w:fldChar w:fldCharType="begin"/>
    </w:r>
    <w:r>
      <w:rPr>
        <w:rStyle w:val="7"/>
      </w:rPr>
      <w:instrText xml:space="preserve">PAGE  </w:instrText>
    </w:r>
    <w:r>
      <w:fldChar w:fldCharType="end"/>
    </w:r>
  </w:p>
  <w:p w14:paraId="3EF58D38">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F2605">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0BE44D"/>
    <w:multiLevelType w:val="singleLevel"/>
    <w:tmpl w:val="5F0BE44D"/>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2D6"/>
    <w:rsid w:val="00032E98"/>
    <w:rsid w:val="00101E4F"/>
    <w:rsid w:val="001376C7"/>
    <w:rsid w:val="001402D6"/>
    <w:rsid w:val="00147DDE"/>
    <w:rsid w:val="00176000"/>
    <w:rsid w:val="00180204"/>
    <w:rsid w:val="0019444C"/>
    <w:rsid w:val="001B6DC7"/>
    <w:rsid w:val="001D4214"/>
    <w:rsid w:val="00201C7B"/>
    <w:rsid w:val="002B1622"/>
    <w:rsid w:val="002E1630"/>
    <w:rsid w:val="002E2F0B"/>
    <w:rsid w:val="00352BCD"/>
    <w:rsid w:val="003770CB"/>
    <w:rsid w:val="003846EC"/>
    <w:rsid w:val="0045343B"/>
    <w:rsid w:val="004C3AAF"/>
    <w:rsid w:val="004F795B"/>
    <w:rsid w:val="00571889"/>
    <w:rsid w:val="00586265"/>
    <w:rsid w:val="005D01D6"/>
    <w:rsid w:val="005D0BC0"/>
    <w:rsid w:val="0060315F"/>
    <w:rsid w:val="0063784C"/>
    <w:rsid w:val="006F1D98"/>
    <w:rsid w:val="0074195E"/>
    <w:rsid w:val="00784CD1"/>
    <w:rsid w:val="00791F6D"/>
    <w:rsid w:val="007F00BC"/>
    <w:rsid w:val="00800863"/>
    <w:rsid w:val="00871251"/>
    <w:rsid w:val="008D2722"/>
    <w:rsid w:val="00985999"/>
    <w:rsid w:val="009E1A03"/>
    <w:rsid w:val="009F5B84"/>
    <w:rsid w:val="00A037C7"/>
    <w:rsid w:val="00A44647"/>
    <w:rsid w:val="00A64E36"/>
    <w:rsid w:val="00AC752C"/>
    <w:rsid w:val="00B14D4E"/>
    <w:rsid w:val="00B1627C"/>
    <w:rsid w:val="00B6783B"/>
    <w:rsid w:val="00B86B48"/>
    <w:rsid w:val="00BB077C"/>
    <w:rsid w:val="00BF68A5"/>
    <w:rsid w:val="00C1202D"/>
    <w:rsid w:val="00C139BE"/>
    <w:rsid w:val="00C13F25"/>
    <w:rsid w:val="00C5674B"/>
    <w:rsid w:val="00CA7F7F"/>
    <w:rsid w:val="00D131F7"/>
    <w:rsid w:val="00E3751E"/>
    <w:rsid w:val="00E5503D"/>
    <w:rsid w:val="00EA70BD"/>
    <w:rsid w:val="00EB5986"/>
    <w:rsid w:val="00F370FC"/>
    <w:rsid w:val="00F4477B"/>
    <w:rsid w:val="01365434"/>
    <w:rsid w:val="04271BEC"/>
    <w:rsid w:val="05401AC0"/>
    <w:rsid w:val="055006E2"/>
    <w:rsid w:val="0BD85521"/>
    <w:rsid w:val="0F080027"/>
    <w:rsid w:val="10602149"/>
    <w:rsid w:val="106F1E9C"/>
    <w:rsid w:val="10911C6F"/>
    <w:rsid w:val="12566C54"/>
    <w:rsid w:val="13E67F6B"/>
    <w:rsid w:val="1416688A"/>
    <w:rsid w:val="16427FAB"/>
    <w:rsid w:val="1723372C"/>
    <w:rsid w:val="18CA137A"/>
    <w:rsid w:val="18CC1A57"/>
    <w:rsid w:val="1DAF568F"/>
    <w:rsid w:val="1EBD20DC"/>
    <w:rsid w:val="1F871382"/>
    <w:rsid w:val="1FC51581"/>
    <w:rsid w:val="21F30B30"/>
    <w:rsid w:val="25E02339"/>
    <w:rsid w:val="26032B20"/>
    <w:rsid w:val="277F4996"/>
    <w:rsid w:val="2868580D"/>
    <w:rsid w:val="29C91057"/>
    <w:rsid w:val="2BEF654B"/>
    <w:rsid w:val="2D182F9D"/>
    <w:rsid w:val="2D740F73"/>
    <w:rsid w:val="2D866BFD"/>
    <w:rsid w:val="2DA64227"/>
    <w:rsid w:val="2EE5593C"/>
    <w:rsid w:val="2F62401A"/>
    <w:rsid w:val="318E0A0C"/>
    <w:rsid w:val="31BB04A8"/>
    <w:rsid w:val="326D6D02"/>
    <w:rsid w:val="34033E90"/>
    <w:rsid w:val="34C90E11"/>
    <w:rsid w:val="35657256"/>
    <w:rsid w:val="3A9B75B2"/>
    <w:rsid w:val="3C6360DF"/>
    <w:rsid w:val="3ED91501"/>
    <w:rsid w:val="400C5F25"/>
    <w:rsid w:val="40733178"/>
    <w:rsid w:val="42237F3B"/>
    <w:rsid w:val="42DE5EF7"/>
    <w:rsid w:val="437C6815"/>
    <w:rsid w:val="45577579"/>
    <w:rsid w:val="4585492C"/>
    <w:rsid w:val="4B5F17D6"/>
    <w:rsid w:val="4D0C0380"/>
    <w:rsid w:val="517A150B"/>
    <w:rsid w:val="546168B5"/>
    <w:rsid w:val="5A4F07FA"/>
    <w:rsid w:val="5AC52CA4"/>
    <w:rsid w:val="5C570DE0"/>
    <w:rsid w:val="5C936BBD"/>
    <w:rsid w:val="5CB84849"/>
    <w:rsid w:val="62FA05A7"/>
    <w:rsid w:val="63123210"/>
    <w:rsid w:val="650E5514"/>
    <w:rsid w:val="6C2D35FC"/>
    <w:rsid w:val="6C2F6C47"/>
    <w:rsid w:val="6C4B0061"/>
    <w:rsid w:val="6C847500"/>
    <w:rsid w:val="6D401F86"/>
    <w:rsid w:val="6E235FCD"/>
    <w:rsid w:val="6F09276A"/>
    <w:rsid w:val="70C450CA"/>
    <w:rsid w:val="70F91EFE"/>
    <w:rsid w:val="73C8692D"/>
    <w:rsid w:val="78B8444A"/>
    <w:rsid w:val="799822DA"/>
    <w:rsid w:val="7A69370D"/>
    <w:rsid w:val="7B7C57E1"/>
    <w:rsid w:val="7E6F3AB7"/>
    <w:rsid w:val="7F703BE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Style w:val="5"/>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uiPriority w:val="0"/>
  </w:style>
  <w:style w:type="character" w:customStyle="1" w:styleId="8">
    <w:name w:val="页脚 Char"/>
    <w:basedOn w:val="6"/>
    <w:link w:val="2"/>
    <w:uiPriority w:val="0"/>
    <w:rPr>
      <w:kern w:val="2"/>
      <w:sz w:val="18"/>
      <w:szCs w:val="18"/>
    </w:rPr>
  </w:style>
  <w:style w:type="character" w:customStyle="1" w:styleId="9">
    <w:name w:val="页眉 Char"/>
    <w:basedOn w:val="6"/>
    <w:link w:val="3"/>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http:/sdwm.org</Company>
  <Pages>5</Pages>
  <Words>85</Words>
  <Characters>85</Characters>
  <Lines>8</Lines>
  <Paragraphs>2</Paragraphs>
  <TotalTime>9</TotalTime>
  <ScaleCrop>false</ScaleCrop>
  <LinksUpToDate>false</LinksUpToDate>
  <CharactersWithSpaces>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2019-05-15T01:53:00Z</dcterms:created>
  <dc:creator>梁志</dc:creator>
  <cp:lastModifiedBy>WPS_1691196825</cp:lastModifiedBy>
  <cp:lastPrinted>2025-04-18T03:54:34Z</cp:lastPrinted>
  <dcterms:modified xsi:type="dcterms:W3CDTF">2026-07-30T04:28:30Z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0D39431A58124A3F8DBF8599DF41E733_13</vt:lpwstr>
  </property>
  <property fmtid="{D5CDD505-2E9C-101B-9397-08002B2CF9AE}" pid="4" name="KSOTemplateDocerSaveRecord">
    <vt:lpwstr>eyJoZGlkIjoiZWZlZDczZjYzOWRiODZiZWM3NWE0YTYyYThiNTE5ZjUiLCJ1c2VySWQiOiIxNTE4NzM1MzQyIn0=</vt:lpwstr>
  </property>
</Properties>
</file>