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DCD71">
      <w:pPr>
        <w:spacing w:line="620" w:lineRule="exact"/>
        <w:rPr>
          <w:rFonts w:hint="eastAsia"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r>
        <w:rPr>
          <w:rFonts w:hint="eastAsia" w:ascii="黑体" w:hAnsi="黑体" w:eastAsia="黑体"/>
          <w:sz w:val="32"/>
          <w:szCs w:val="32"/>
        </w:rPr>
        <w:t xml:space="preserve"> </w:t>
      </w:r>
    </w:p>
    <w:p w14:paraId="032F63AA">
      <w:pPr>
        <w:spacing w:line="620" w:lineRule="exact"/>
        <w:jc w:val="center"/>
        <w:rPr>
          <w:rFonts w:hint="eastAsia" w:ascii="方正小标宋_GBK" w:eastAsia="方正小标宋_GBK"/>
          <w:sz w:val="36"/>
          <w:szCs w:val="36"/>
        </w:rPr>
      </w:pPr>
      <w:r>
        <w:rPr>
          <w:rFonts w:hint="eastAsia" w:ascii="方正小标宋_GBK" w:eastAsia="方正小标宋_GBK"/>
          <w:sz w:val="36"/>
          <w:szCs w:val="36"/>
        </w:rPr>
        <w:t>2023年湛江市廉江市镇域公共基础设施建设项目支出绩效自评报告</w:t>
      </w:r>
    </w:p>
    <w:p w14:paraId="2616B4E2">
      <w:pPr>
        <w:spacing w:line="620" w:lineRule="exact"/>
        <w:jc w:val="center"/>
        <w:rPr>
          <w:rFonts w:hint="eastAsia" w:ascii="仿宋_GB2312" w:eastAsia="仿宋_GB2312"/>
          <w:sz w:val="30"/>
        </w:rPr>
      </w:pPr>
    </w:p>
    <w:p w14:paraId="4DC81D7F">
      <w:pPr>
        <w:spacing w:line="620" w:lineRule="exact"/>
        <w:rPr>
          <w:rFonts w:hint="eastAsia" w:ascii="仿宋_GB2312" w:eastAsia="仿宋_GB2312"/>
          <w:sz w:val="30"/>
        </w:rPr>
      </w:pPr>
    </w:p>
    <w:p w14:paraId="7C03C5BD">
      <w:pPr>
        <w:spacing w:line="620" w:lineRule="exact"/>
        <w:rPr>
          <w:rFonts w:hint="eastAsia" w:ascii="仿宋_GB2312" w:eastAsia="仿宋_GB2312"/>
          <w:sz w:val="30"/>
        </w:rPr>
      </w:pPr>
    </w:p>
    <w:p w14:paraId="2764DF90">
      <w:pPr>
        <w:spacing w:line="620" w:lineRule="exact"/>
        <w:rPr>
          <w:rFonts w:hint="eastAsia" w:ascii="仿宋_GB2312" w:eastAsia="仿宋_GB2312"/>
          <w:sz w:val="30"/>
        </w:rPr>
      </w:pPr>
    </w:p>
    <w:p w14:paraId="7F42D3D7">
      <w:pPr>
        <w:spacing w:line="620" w:lineRule="exact"/>
        <w:rPr>
          <w:rFonts w:hint="eastAsia" w:ascii="仿宋_GB2312" w:eastAsia="仿宋_GB2312"/>
          <w:sz w:val="30"/>
        </w:rPr>
      </w:pPr>
    </w:p>
    <w:p w14:paraId="4A097980">
      <w:pPr>
        <w:spacing w:line="620" w:lineRule="exact"/>
        <w:rPr>
          <w:rFonts w:hint="eastAsia" w:ascii="仿宋_GB2312" w:eastAsia="仿宋_GB2312"/>
          <w:sz w:val="30"/>
        </w:rPr>
      </w:pPr>
    </w:p>
    <w:p w14:paraId="11BFF94D">
      <w:pPr>
        <w:spacing w:line="620" w:lineRule="exact"/>
        <w:rPr>
          <w:rFonts w:hint="eastAsia" w:ascii="仿宋_GB2312" w:eastAsia="仿宋_GB2312"/>
          <w:sz w:val="30"/>
        </w:rPr>
      </w:pPr>
    </w:p>
    <w:p w14:paraId="496C6E2E">
      <w:pPr>
        <w:spacing w:line="620" w:lineRule="exact"/>
        <w:rPr>
          <w:rFonts w:hint="eastAsia" w:ascii="仿宋_GB2312" w:eastAsia="仿宋_GB2312"/>
          <w:sz w:val="30"/>
        </w:rPr>
      </w:pPr>
    </w:p>
    <w:p w14:paraId="5F8CA043">
      <w:pPr>
        <w:spacing w:line="620" w:lineRule="exact"/>
        <w:rPr>
          <w:rFonts w:hint="eastAsia" w:ascii="仿宋_GB2312" w:eastAsia="仿宋_GB2312"/>
          <w:sz w:val="30"/>
        </w:rPr>
      </w:pPr>
    </w:p>
    <w:p w14:paraId="5CD22790">
      <w:pPr>
        <w:spacing w:line="620" w:lineRule="exact"/>
        <w:rPr>
          <w:rFonts w:hint="eastAsia" w:ascii="仿宋_GB2312" w:eastAsia="仿宋_GB2312"/>
          <w:sz w:val="30"/>
        </w:rPr>
      </w:pPr>
    </w:p>
    <w:p w14:paraId="7E0320BC">
      <w:pPr>
        <w:spacing w:line="620" w:lineRule="exact"/>
        <w:rPr>
          <w:rFonts w:hint="eastAsia" w:ascii="仿宋_GB2312" w:eastAsia="仿宋_GB2312"/>
          <w:sz w:val="30"/>
        </w:rPr>
      </w:pPr>
    </w:p>
    <w:p w14:paraId="2C8D4217">
      <w:pPr>
        <w:spacing w:line="620" w:lineRule="exact"/>
        <w:rPr>
          <w:rFonts w:hint="eastAsia" w:ascii="仿宋_GB2312" w:eastAsia="仿宋_GB2312"/>
          <w:sz w:val="32"/>
          <w:szCs w:val="32"/>
        </w:rPr>
      </w:pPr>
    </w:p>
    <w:p w14:paraId="1B7B9AC5">
      <w:pPr>
        <w:spacing w:line="620" w:lineRule="exact"/>
        <w:rPr>
          <w:rFonts w:hint="eastAsia" w:ascii="仿宋_GB2312" w:eastAsia="仿宋_GB2312"/>
          <w:sz w:val="30"/>
          <w:szCs w:val="30"/>
        </w:rPr>
      </w:pPr>
      <w:r>
        <w:rPr>
          <w:rFonts w:hint="eastAsia" w:ascii="仿宋_GB2312" w:eastAsia="仿宋_GB2312"/>
          <w:sz w:val="32"/>
          <w:szCs w:val="32"/>
        </w:rPr>
        <w:t>项目名称：</w:t>
      </w:r>
      <w:r>
        <w:rPr>
          <w:rFonts w:hint="eastAsia" w:ascii="仿宋_GB2312" w:eastAsia="仿宋_GB2312"/>
          <w:sz w:val="30"/>
          <w:szCs w:val="30"/>
        </w:rPr>
        <w:t>2023年湛江市廉江市镇域公共基础设施建设项目</w:t>
      </w:r>
    </w:p>
    <w:p w14:paraId="3273ED6E">
      <w:pPr>
        <w:spacing w:line="620" w:lineRule="exact"/>
        <w:rPr>
          <w:rFonts w:hint="eastAsia" w:ascii="仿宋_GB2312" w:eastAsia="仿宋_GB2312"/>
          <w:sz w:val="32"/>
          <w:szCs w:val="32"/>
        </w:rPr>
      </w:pPr>
      <w:r>
        <w:rPr>
          <w:rFonts w:hint="eastAsia" w:ascii="仿宋_GB2312" w:eastAsia="仿宋_GB2312"/>
          <w:sz w:val="32"/>
          <w:szCs w:val="32"/>
        </w:rPr>
        <w:t>评价年度：2</w:t>
      </w:r>
      <w:r>
        <w:rPr>
          <w:rFonts w:ascii="仿宋_GB2312" w:eastAsia="仿宋_GB2312"/>
          <w:sz w:val="32"/>
          <w:szCs w:val="32"/>
        </w:rPr>
        <w:t>023</w:t>
      </w:r>
      <w:r>
        <w:rPr>
          <w:rFonts w:hint="eastAsia" w:ascii="仿宋_GB2312" w:eastAsia="仿宋_GB2312"/>
          <w:sz w:val="32"/>
          <w:szCs w:val="32"/>
        </w:rPr>
        <w:t>年度</w:t>
      </w:r>
    </w:p>
    <w:p w14:paraId="7FB76FBF">
      <w:pPr>
        <w:spacing w:line="620" w:lineRule="exact"/>
        <w:rPr>
          <w:rFonts w:hint="eastAsia" w:ascii="仿宋_GB2312" w:eastAsia="仿宋_GB2312"/>
          <w:sz w:val="32"/>
          <w:szCs w:val="32"/>
        </w:rPr>
      </w:pPr>
      <w:r>
        <w:rPr>
          <w:rFonts w:hint="eastAsia" w:ascii="仿宋_GB2312" w:eastAsia="仿宋_GB2312"/>
          <w:sz w:val="32"/>
          <w:szCs w:val="32"/>
        </w:rPr>
        <w:t>市级预算部门单位（公章）：</w:t>
      </w:r>
    </w:p>
    <w:p w14:paraId="068EDCD4">
      <w:pPr>
        <w:spacing w:line="620" w:lineRule="exact"/>
        <w:rPr>
          <w:rFonts w:hint="eastAsia" w:ascii="仿宋_GB2312" w:eastAsia="仿宋_GB2312"/>
          <w:sz w:val="32"/>
          <w:szCs w:val="32"/>
        </w:rPr>
      </w:pPr>
      <w:r>
        <w:rPr>
          <w:rFonts w:hint="eastAsia" w:ascii="仿宋_GB2312" w:eastAsia="仿宋_GB2312"/>
          <w:sz w:val="32"/>
          <w:szCs w:val="32"/>
        </w:rPr>
        <w:t>填报日期：2</w:t>
      </w:r>
      <w:r>
        <w:rPr>
          <w:rFonts w:ascii="仿宋_GB2312" w:eastAsia="仿宋_GB2312"/>
          <w:sz w:val="32"/>
          <w:szCs w:val="32"/>
        </w:rPr>
        <w:t>02</w:t>
      </w:r>
      <w:r>
        <w:rPr>
          <w:rFonts w:hint="eastAsia" w:ascii="仿宋_GB2312" w:eastAsia="仿宋_GB2312"/>
          <w:sz w:val="32"/>
          <w:szCs w:val="32"/>
          <w:lang w:val="en-US" w:eastAsia="zh-CN"/>
        </w:rPr>
        <w:t>6</w:t>
      </w:r>
      <w:r>
        <w:rPr>
          <w:rFonts w:hint="eastAsia" w:ascii="仿宋_GB2312" w:eastAsia="仿宋_GB2312"/>
          <w:sz w:val="32"/>
          <w:szCs w:val="32"/>
        </w:rPr>
        <w:t>年0</w:t>
      </w:r>
      <w:r>
        <w:rPr>
          <w:rFonts w:hint="eastAsia" w:ascii="仿宋_GB2312" w:eastAsia="仿宋_GB2312"/>
          <w:sz w:val="32"/>
          <w:szCs w:val="32"/>
          <w:lang w:val="en-US" w:eastAsia="zh-CN"/>
        </w:rPr>
        <w:t>7</w:t>
      </w:r>
      <w:r>
        <w:rPr>
          <w:rFonts w:hint="eastAsia" w:ascii="仿宋_GB2312" w:eastAsia="仿宋_GB2312"/>
          <w:sz w:val="32"/>
          <w:szCs w:val="32"/>
        </w:rPr>
        <w:t>月</w:t>
      </w:r>
      <w:r>
        <w:rPr>
          <w:rFonts w:ascii="仿宋_GB2312" w:eastAsia="仿宋_GB2312"/>
          <w:sz w:val="32"/>
          <w:szCs w:val="32"/>
        </w:rPr>
        <w:t>2</w:t>
      </w:r>
      <w:r>
        <w:rPr>
          <w:rFonts w:hint="eastAsia" w:ascii="仿宋_GB2312" w:eastAsia="仿宋_GB2312"/>
          <w:sz w:val="32"/>
          <w:szCs w:val="32"/>
          <w:lang w:val="en-US" w:eastAsia="zh-CN"/>
        </w:rPr>
        <w:t>9</w:t>
      </w:r>
      <w:r>
        <w:rPr>
          <w:rFonts w:hint="eastAsia" w:ascii="仿宋_GB2312" w:eastAsia="仿宋_GB2312"/>
          <w:sz w:val="32"/>
          <w:szCs w:val="32"/>
        </w:rPr>
        <w:t>日</w:t>
      </w:r>
    </w:p>
    <w:p w14:paraId="10CE79F0">
      <w:pPr>
        <w:spacing w:line="620" w:lineRule="exact"/>
        <w:rPr>
          <w:rFonts w:hint="eastAsia" w:ascii="仿宋_GB2312" w:eastAsia="仿宋_GB2312"/>
          <w:sz w:val="30"/>
        </w:rPr>
      </w:pPr>
    </w:p>
    <w:p w14:paraId="0209E678">
      <w:pPr>
        <w:spacing w:line="620" w:lineRule="exact"/>
        <w:rPr>
          <w:rFonts w:hint="eastAsia" w:ascii="仿宋_GB2312" w:eastAsia="仿宋_GB2312"/>
          <w:sz w:val="30"/>
        </w:rPr>
      </w:pPr>
    </w:p>
    <w:p w14:paraId="63D8CFD0">
      <w:pPr>
        <w:spacing w:line="620" w:lineRule="exact"/>
        <w:rPr>
          <w:rFonts w:ascii="仿宋_GB2312" w:eastAsia="仿宋_GB2312"/>
          <w:sz w:val="30"/>
        </w:rPr>
      </w:pPr>
    </w:p>
    <w:p w14:paraId="3438BC8C">
      <w:pPr>
        <w:spacing w:line="620" w:lineRule="exact"/>
        <w:ind w:firstLine="294" w:firstLineChars="100"/>
        <w:rPr>
          <w:rFonts w:hint="eastAsia" w:ascii="仿宋_GB2312" w:eastAsia="仿宋_GB2312"/>
          <w:sz w:val="30"/>
        </w:rPr>
      </w:pPr>
      <w:r>
        <w:rPr>
          <w:rFonts w:hint="eastAsia" w:ascii="仿宋_GB2312" w:hAnsi="ˎ̥" w:eastAsia="仿宋_GB2312" w:cs="宋体"/>
          <w:color w:val="000000"/>
          <w:kern w:val="0"/>
          <w:sz w:val="32"/>
          <w:szCs w:val="32"/>
        </w:rPr>
        <w:t>为了加强财政支出管理，建立科学、规范、高效的财政资金分配和管理体系，提高我市财政资金使用效益，树立财政资金项目使用单位的绩效观念，根据广东省委省政府《关于全面实施预算绩效管理的若干意见》（粤发〔2019〕5号）和中共廉江市委全面深化改革委员会《廉江市全面实施预算绩效管理工作方案》（廉改委发</w:t>
      </w:r>
      <w:r>
        <w:rPr>
          <w:rFonts w:hint="eastAsia" w:ascii="仿宋" w:hAnsi="仿宋" w:eastAsia="仿宋"/>
          <w:color w:val="000000"/>
          <w:sz w:val="32"/>
          <w:szCs w:val="32"/>
        </w:rPr>
        <w:t>〔</w:t>
      </w:r>
      <w:r>
        <w:rPr>
          <w:rFonts w:hint="eastAsia" w:ascii="仿宋_GB2312" w:hAnsi="宋体" w:eastAsia="仿宋_GB2312"/>
          <w:color w:val="000000"/>
          <w:sz w:val="32"/>
        </w:rPr>
        <w:t>2020</w:t>
      </w:r>
      <w:r>
        <w:rPr>
          <w:rFonts w:hint="eastAsia" w:ascii="仿宋" w:hAnsi="仿宋" w:eastAsia="仿宋"/>
          <w:color w:val="000000"/>
          <w:sz w:val="32"/>
          <w:szCs w:val="32"/>
        </w:rPr>
        <w:t>〕</w:t>
      </w:r>
      <w:r>
        <w:rPr>
          <w:rFonts w:hint="eastAsia" w:ascii="仿宋_GB2312" w:hAnsi="宋体" w:eastAsia="仿宋_GB2312"/>
          <w:color w:val="000000"/>
          <w:sz w:val="32"/>
        </w:rPr>
        <w:t>3号</w:t>
      </w:r>
      <w:r>
        <w:rPr>
          <w:rFonts w:hint="eastAsia" w:ascii="仿宋_GB2312" w:hAnsi="ˎ̥" w:eastAsia="仿宋_GB2312" w:cs="宋体"/>
          <w:color w:val="000000"/>
          <w:kern w:val="0"/>
          <w:sz w:val="32"/>
          <w:szCs w:val="32"/>
        </w:rPr>
        <w:t>）以及关于开展2</w:t>
      </w:r>
      <w:r>
        <w:rPr>
          <w:rFonts w:ascii="仿宋_GB2312" w:hAnsi="ˎ̥" w:eastAsia="仿宋_GB2312" w:cs="宋体"/>
          <w:color w:val="000000"/>
          <w:kern w:val="0"/>
          <w:sz w:val="32"/>
          <w:szCs w:val="32"/>
        </w:rPr>
        <w:t>023</w:t>
      </w:r>
      <w:r>
        <w:rPr>
          <w:rFonts w:hint="eastAsia" w:ascii="仿宋_GB2312" w:hAnsi="ˎ̥" w:eastAsia="仿宋_GB2312" w:cs="宋体"/>
          <w:color w:val="000000"/>
          <w:kern w:val="0"/>
          <w:sz w:val="32"/>
          <w:szCs w:val="32"/>
        </w:rPr>
        <w:t>年度财政专项资金支出自我绩效评价工作通知的文件要求的有关规定，现对2023年湛江市廉江市镇域公共基础设施建设项目自我绩效评价。</w:t>
      </w:r>
    </w:p>
    <w:p w14:paraId="3D551DBE">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一、基本情况</w:t>
      </w:r>
    </w:p>
    <w:p w14:paraId="5FCEB3C0">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（一）项目概</w:t>
      </w:r>
      <w:r>
        <w:rPr>
          <w:rFonts w:hint="eastAsia" w:ascii="仿宋_GB2312" w:hAnsi="仿宋_GB2312" w:eastAsia="仿宋_GB2312"/>
          <w:color w:val="000000"/>
          <w:kern w:val="1"/>
          <w:sz w:val="32"/>
          <w:szCs w:val="32"/>
        </w:rPr>
        <w:t>况。</w:t>
      </w:r>
    </w:p>
    <w:p w14:paraId="07B37511">
      <w:pPr>
        <w:pStyle w:val="15"/>
        <w:snapToGrid/>
        <w:rPr>
          <w:rFonts w:hint="eastAsia" w:hAnsi="Times New Roman" w:eastAsia="仿宋_GB2312" w:cs="Times New Roman"/>
          <w:bCs w:val="0"/>
          <w:szCs w:val="32"/>
        </w:rPr>
      </w:pPr>
      <w:r>
        <w:rPr>
          <w:rFonts w:hint="eastAsia" w:hAnsi="Times New Roman" w:eastAsia="仿宋_GB2312" w:cs="Times New Roman"/>
          <w:bCs w:val="0"/>
          <w:szCs w:val="32"/>
        </w:rPr>
        <w:t>根据《广东省乡村振兴驻镇帮镇扶村工作方案》（粤委办发电〔2021〕60号）文件精神，本项工作坚持以习近平新时代中国特色社会主义思想为根本指引，全面贯彻党的十九大和十九届二中、三中、四中、五中全会精神，深入学习贯彻习近平总书记对广东系列重要讲话和重要指示批示精神，准确把握新发展阶段，完整、准确、全面贯彻新发展理念，主动服务和融入新发展格局，锚定高质量发展主题，以巩固拓展脱贫攻坚成果、全面推进乡村振兴为核心目标，坚定不移走共同富裕道路，紧密结合乡村建设行动，通过驻镇帮扶、分类分级帮扶和组团帮扶等多元方式，着力将乡镇打造成为服务农民的区域中心。规划明确，到2027年，乡村振兴取得战略性成果，镇村整体面貌实现根本性改善；到2035年，农业高质高效、乡村宜居宜业、农民富裕富足目标总体达成，乡村基本实现现代化。项目覆盖安铺镇、车板镇、高桥镇等18个镇，由各镇政府或行政村作为建设单位，全面负责项目招标、施工实施及全过程监管等组织管理工作。项目建设内容重点涵盖：巩固拓展脱贫攻坚成果与乡村振兴有效衔接、提升镇村公共基础设施水平、增强镇域公共服务能力、促进乡村产业提质增效等四大领域，统筹推进多类工程落地见效。</w:t>
      </w:r>
      <w:r>
        <w:rPr>
          <w:rFonts w:hint="eastAsia" w:hAnsi="Times New Roman" w:eastAsia="仿宋_GB2312" w:cs="Times New Roman"/>
          <w:bCs w:val="0"/>
          <w:szCs w:val="32"/>
          <w:lang w:eastAsia="zh-CN"/>
        </w:rPr>
        <w:t>本</w:t>
      </w:r>
      <w:r>
        <w:rPr>
          <w:rFonts w:hint="eastAsia" w:hAnsi="Times New Roman" w:eastAsia="仿宋_GB2312" w:cs="Times New Roman"/>
          <w:bCs w:val="0"/>
          <w:szCs w:val="32"/>
        </w:rPr>
        <w:t>项目市级年度预算预期投入金额</w:t>
      </w:r>
      <w:r>
        <w:rPr>
          <w:rFonts w:hint="eastAsia" w:hAnsi="Times New Roman" w:eastAsia="仿宋_GB2312" w:cs="Times New Roman"/>
          <w:bCs w:val="0"/>
          <w:szCs w:val="32"/>
          <w:lang w:val="en-US" w:eastAsia="zh-CN"/>
        </w:rPr>
        <w:t>12600</w:t>
      </w:r>
      <w:r>
        <w:rPr>
          <w:rFonts w:hint="eastAsia" w:hAnsi="Times New Roman" w:eastAsia="仿宋_GB2312" w:cs="Times New Roman"/>
          <w:bCs w:val="0"/>
          <w:szCs w:val="32"/>
        </w:rPr>
        <w:t>万元，</w:t>
      </w:r>
      <w:r>
        <w:rPr>
          <w:rFonts w:hint="eastAsia" w:hAnsi="Times New Roman" w:eastAsia="仿宋_GB2312" w:cs="Times New Roman"/>
          <w:bCs w:val="0"/>
          <w:szCs w:val="32"/>
          <w:lang w:eastAsia="zh-CN"/>
        </w:rPr>
        <w:t>实际下达</w:t>
      </w:r>
      <w:r>
        <w:rPr>
          <w:rFonts w:hint="eastAsia" w:hAnsi="Times New Roman" w:eastAsia="仿宋_GB2312" w:cs="Times New Roman"/>
          <w:bCs w:val="0"/>
          <w:szCs w:val="32"/>
          <w:lang w:val="en-US" w:eastAsia="zh-CN"/>
        </w:rPr>
        <w:t>10960万元，</w:t>
      </w:r>
      <w:r>
        <w:rPr>
          <w:rFonts w:hint="eastAsia" w:hAnsi="Times New Roman" w:eastAsia="仿宋_GB2312" w:cs="Times New Roman"/>
          <w:bCs w:val="0"/>
          <w:szCs w:val="32"/>
          <w:lang w:eastAsia="zh-CN"/>
        </w:rPr>
        <w:t>资金拨付到镇</w:t>
      </w:r>
      <w:r>
        <w:rPr>
          <w:rFonts w:hint="eastAsia" w:hAnsi="Times New Roman" w:eastAsia="仿宋_GB2312" w:cs="Times New Roman"/>
          <w:bCs w:val="0"/>
          <w:szCs w:val="32"/>
          <w:lang w:val="en-US" w:eastAsia="zh-CN"/>
        </w:rPr>
        <w:t>10960万元，各镇已实际支出</w:t>
      </w:r>
      <w:r>
        <w:rPr>
          <w:rFonts w:hint="eastAsia" w:hAnsi="Times New Roman" w:eastAsia="仿宋_GB2312" w:cs="Times New Roman"/>
          <w:bCs w:val="0"/>
          <w:szCs w:val="32"/>
          <w:lang w:eastAsia="zh-CN"/>
        </w:rPr>
        <w:t>10841.26万元</w:t>
      </w:r>
      <w:r>
        <w:rPr>
          <w:rFonts w:hint="eastAsia" w:hAnsi="Times New Roman" w:eastAsia="仿宋_GB2312" w:cs="Times New Roman"/>
          <w:bCs w:val="0"/>
          <w:szCs w:val="32"/>
        </w:rPr>
        <w:t>。</w:t>
      </w:r>
    </w:p>
    <w:p w14:paraId="2DCF5B54">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（二）评价年度项目绩效目标设定情况。</w:t>
      </w:r>
    </w:p>
    <w:p w14:paraId="7BE89E9C">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达到粤财农（2022）189号</w:t>
      </w:r>
      <w:r>
        <w:rPr>
          <w:rFonts w:hint="eastAsia" w:ascii="仿宋_GB2312" w:hAnsi="仿宋_GB2312" w:eastAsia="仿宋_GB2312"/>
          <w:kern w:val="1"/>
          <w:sz w:val="32"/>
          <w:szCs w:val="32"/>
          <w:lang w:eastAsia="zh-CN"/>
        </w:rPr>
        <w:t>资金文下达的绩效目标</w:t>
      </w:r>
      <w:r>
        <w:rPr>
          <w:rFonts w:hint="eastAsia" w:ascii="仿宋_GB2312" w:hAnsi="仿宋_GB2312" w:eastAsia="仿宋_GB2312"/>
          <w:kern w:val="1"/>
          <w:sz w:val="32"/>
          <w:szCs w:val="32"/>
        </w:rPr>
        <w:t>要求。</w:t>
      </w:r>
    </w:p>
    <w:p w14:paraId="3ED23F19">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二、绩效自评工作开展情况</w:t>
      </w:r>
    </w:p>
    <w:p w14:paraId="570ED736">
      <w:pPr>
        <w:spacing w:line="620" w:lineRule="exact"/>
        <w:ind w:firstLine="588" w:firstLineChars="200"/>
        <w:rPr>
          <w:rFonts w:ascii="仿宋_GB2312" w:hAnsi="仿宋_GB2312" w:eastAsia="仿宋_GB2312"/>
          <w:kern w:val="1"/>
          <w:sz w:val="32"/>
          <w:szCs w:val="32"/>
        </w:rPr>
      </w:pPr>
      <w:r>
        <w:rPr>
          <w:rFonts w:hint="eastAsia" w:ascii="仿宋_GB2312" w:hAnsi="仿宋_GB2312" w:eastAsia="仿宋_GB2312"/>
          <w:kern w:val="1"/>
          <w:sz w:val="32"/>
          <w:szCs w:val="32"/>
        </w:rPr>
        <w:t>（一</w:t>
      </w:r>
      <w:r>
        <w:rPr>
          <w:rFonts w:ascii="仿宋_GB2312" w:hAnsi="仿宋_GB2312" w:eastAsia="仿宋_GB2312"/>
          <w:kern w:val="1"/>
          <w:sz w:val="32"/>
          <w:szCs w:val="32"/>
        </w:rPr>
        <w:t>）</w:t>
      </w:r>
      <w:r>
        <w:rPr>
          <w:rFonts w:hint="eastAsia" w:ascii="仿宋_GB2312" w:hAnsi="仿宋_GB2312" w:eastAsia="仿宋_GB2312"/>
          <w:kern w:val="1"/>
          <w:sz w:val="32"/>
          <w:szCs w:val="32"/>
        </w:rPr>
        <w:t>选用评价指标和评价方法的原则和依据；</w:t>
      </w:r>
    </w:p>
    <w:p w14:paraId="1BA0D7C2">
      <w:pPr>
        <w:pStyle w:val="16"/>
        <w:snapToGrid/>
        <w:ind w:firstLine="588"/>
        <w:rPr>
          <w:rFonts w:cs="Times New Roman"/>
          <w:kern w:val="1"/>
          <w:szCs w:val="32"/>
        </w:rPr>
      </w:pPr>
      <w:r>
        <w:rPr>
          <w:rFonts w:hint="eastAsia" w:cs="Times New Roman"/>
          <w:kern w:val="1"/>
          <w:szCs w:val="32"/>
        </w:rPr>
        <w:t>1、评价指标选用了定量指标和绩效指标，定量指标包括了资金投入情况，项目完成情况。绩效指标包括项目经济效益的产出情况，项目的社会、政治和综合效益情况。</w:t>
      </w:r>
    </w:p>
    <w:p w14:paraId="24B74075">
      <w:pPr>
        <w:pStyle w:val="16"/>
        <w:snapToGrid/>
        <w:ind w:firstLine="588"/>
        <w:rPr>
          <w:rFonts w:cs="Times New Roman"/>
          <w:kern w:val="1"/>
          <w:szCs w:val="32"/>
        </w:rPr>
      </w:pPr>
      <w:r>
        <w:rPr>
          <w:rFonts w:hint="eastAsia" w:cs="Times New Roman"/>
          <w:kern w:val="1"/>
          <w:szCs w:val="32"/>
        </w:rPr>
        <w:t>2、评价方法选用了目标预定方法与实施效果相比较方法。</w:t>
      </w:r>
    </w:p>
    <w:p w14:paraId="33C00FE2">
      <w:pPr>
        <w:pStyle w:val="16"/>
        <w:snapToGrid/>
        <w:ind w:firstLine="588"/>
        <w:rPr>
          <w:rFonts w:cs="Times New Roman"/>
          <w:kern w:val="1"/>
          <w:szCs w:val="32"/>
        </w:rPr>
      </w:pPr>
      <w:r>
        <w:rPr>
          <w:rFonts w:hint="eastAsia" w:cs="Times New Roman"/>
          <w:kern w:val="1"/>
          <w:szCs w:val="32"/>
        </w:rPr>
        <w:t>3、项目评价指标与方法都采用定量评价与定性评价相结合的原则，实事求是地评价项目绩效情况</w:t>
      </w:r>
    </w:p>
    <w:p w14:paraId="53114D9D">
      <w:pPr>
        <w:spacing w:line="620" w:lineRule="exact"/>
        <w:ind w:firstLine="588" w:firstLineChars="200"/>
        <w:rPr>
          <w:rFonts w:ascii="仿宋_GB2312" w:hAnsi="仿宋_GB2312" w:eastAsia="仿宋_GB2312"/>
          <w:kern w:val="1"/>
          <w:sz w:val="32"/>
          <w:szCs w:val="32"/>
        </w:rPr>
      </w:pPr>
      <w:r>
        <w:rPr>
          <w:rFonts w:hint="eastAsia" w:ascii="仿宋_GB2312" w:hAnsi="仿宋_GB2312" w:eastAsia="仿宋_GB2312"/>
          <w:kern w:val="1"/>
          <w:sz w:val="32"/>
          <w:szCs w:val="32"/>
        </w:rPr>
        <w:t>（二）现场勘验、检查、核实的情况。</w:t>
      </w:r>
    </w:p>
    <w:p w14:paraId="7146A728">
      <w:pPr>
        <w:pStyle w:val="16"/>
        <w:snapToGrid/>
        <w:ind w:firstLine="588"/>
        <w:rPr>
          <w:rFonts w:cs="Times New Roman"/>
          <w:kern w:val="1"/>
          <w:szCs w:val="32"/>
        </w:rPr>
      </w:pPr>
      <w:r>
        <w:rPr>
          <w:rFonts w:hint="eastAsia" w:cs="Times New Roman"/>
          <w:kern w:val="1"/>
          <w:szCs w:val="32"/>
        </w:rPr>
        <w:t>现场勘验、检查、核实的情况与实现项目绩效目标相符合。</w:t>
      </w:r>
    </w:p>
    <w:p w14:paraId="5E8A59C1">
      <w:pPr>
        <w:pStyle w:val="16"/>
        <w:snapToGrid/>
        <w:ind w:firstLine="588"/>
        <w:rPr>
          <w:rFonts w:cs="Times New Roman"/>
          <w:kern w:val="1"/>
          <w:szCs w:val="32"/>
        </w:rPr>
      </w:pPr>
      <w:r>
        <w:rPr>
          <w:rFonts w:hint="eastAsia" w:cs="Times New Roman"/>
          <w:kern w:val="1"/>
          <w:szCs w:val="32"/>
        </w:rPr>
        <w:t>（三）项目执行基本情况</w:t>
      </w:r>
    </w:p>
    <w:p w14:paraId="328498CA">
      <w:pPr>
        <w:ind w:firstLine="588" w:firstLineChars="200"/>
        <w:rPr>
          <w:rFonts w:ascii="仿宋_GB2312" w:hAnsi="仿宋_GB2312" w:eastAsia="仿宋_GB2312"/>
          <w:kern w:val="1"/>
          <w:sz w:val="32"/>
          <w:szCs w:val="32"/>
        </w:rPr>
      </w:pPr>
      <w:r>
        <w:rPr>
          <w:rFonts w:hint="eastAsia" w:ascii="仿宋_GB2312" w:hAnsi="仿宋_GB2312" w:eastAsia="仿宋_GB2312"/>
          <w:kern w:val="1"/>
          <w:sz w:val="32"/>
          <w:szCs w:val="32"/>
        </w:rPr>
        <w:t>1、工程建设前进行了深入细致的调查研究，确定了项目建设目标。工程的实施是按预定好的工程计划进行，结合项目现场开展施工情况，在项目进展的过程当中，没有出现目标调查情况及采取相关的措施。</w:t>
      </w:r>
    </w:p>
    <w:p w14:paraId="0AA9D614">
      <w:pPr>
        <w:spacing w:line="620" w:lineRule="exact"/>
        <w:ind w:firstLine="588" w:firstLineChars="200"/>
        <w:rPr>
          <w:rFonts w:ascii="仿宋_GB2312" w:hAnsi="仿宋_GB2312" w:eastAsia="仿宋_GB2312"/>
          <w:kern w:val="1"/>
          <w:sz w:val="32"/>
          <w:szCs w:val="32"/>
        </w:rPr>
      </w:pPr>
      <w:r>
        <w:rPr>
          <w:rFonts w:hint="eastAsia" w:ascii="仿宋_GB2312" w:hAnsi="仿宋_GB2312" w:eastAsia="仿宋_GB2312"/>
          <w:kern w:val="1"/>
          <w:sz w:val="32"/>
          <w:szCs w:val="32"/>
        </w:rPr>
        <w:t>2、工程的实施是按照预定好的工程计划目标进行，结合项目现场开展情况，在工程进展的过程当中，严格把好质量关。</w:t>
      </w:r>
    </w:p>
    <w:p w14:paraId="28E76A09">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三、绩效自评结果</w:t>
      </w:r>
    </w:p>
    <w:p w14:paraId="3E8DD90E">
      <w:pPr>
        <w:tabs>
          <w:tab w:val="left" w:pos="7080"/>
        </w:tabs>
        <w:ind w:firstLine="588" w:firstLineChars="200"/>
        <w:outlineLvl w:val="0"/>
        <w:rPr>
          <w:rFonts w:ascii="仿宋_GB2312" w:hAnsi="仿宋_GB2312" w:eastAsia="仿宋_GB2312"/>
          <w:kern w:val="1"/>
          <w:sz w:val="32"/>
          <w:szCs w:val="32"/>
        </w:rPr>
      </w:pPr>
      <w:r>
        <w:rPr>
          <w:rFonts w:hint="eastAsia" w:ascii="仿宋_GB2312" w:hAnsi="仿宋_GB2312" w:eastAsia="仿宋_GB2312"/>
          <w:kern w:val="1"/>
          <w:sz w:val="32"/>
          <w:szCs w:val="32"/>
        </w:rPr>
        <w:t>本次绩效自评</w:t>
      </w:r>
      <w:r>
        <w:rPr>
          <w:rFonts w:hint="eastAsia" w:ascii="仿宋_GB2312" w:hAnsi="仿宋_GB2312" w:eastAsia="仿宋_GB2312"/>
          <w:kern w:val="1"/>
          <w:sz w:val="32"/>
          <w:szCs w:val="32"/>
          <w:lang w:val="en-US" w:eastAsia="zh-CN"/>
        </w:rPr>
        <w:t>99.95</w:t>
      </w:r>
      <w:r>
        <w:rPr>
          <w:rFonts w:hint="eastAsia" w:ascii="仿宋_GB2312" w:hAnsi="仿宋_GB2312" w:eastAsia="仿宋_GB2312"/>
          <w:kern w:val="1"/>
          <w:sz w:val="32"/>
          <w:szCs w:val="32"/>
        </w:rPr>
        <w:t>分</w:t>
      </w:r>
      <w:r>
        <w:rPr>
          <w:rFonts w:hint="eastAsia" w:ascii="仿宋_GB2312" w:hAnsi="仿宋_GB2312" w:eastAsia="仿宋_GB2312"/>
          <w:kern w:val="1"/>
          <w:sz w:val="32"/>
          <w:szCs w:val="32"/>
          <w:lang w:eastAsia="zh-CN"/>
        </w:rPr>
        <w:t>，等级为优</w:t>
      </w:r>
      <w:r>
        <w:rPr>
          <w:rFonts w:hint="eastAsia" w:ascii="仿宋_GB2312" w:hAnsi="仿宋_GB2312" w:eastAsia="仿宋_GB2312"/>
          <w:kern w:val="1"/>
          <w:sz w:val="32"/>
          <w:szCs w:val="32"/>
        </w:rPr>
        <w:t>。</w:t>
      </w:r>
      <w:r>
        <w:rPr>
          <w:rFonts w:hint="eastAsia" w:ascii="仿宋_GB2312" w:eastAsia="仿宋_GB2312"/>
          <w:sz w:val="32"/>
          <w:szCs w:val="32"/>
        </w:rPr>
        <w:t>粤财农（2022）189号2023年镇域公共基础设施建设项目</w:t>
      </w:r>
      <w:r>
        <w:rPr>
          <w:rFonts w:hint="eastAsia" w:ascii="仿宋_GB2312" w:eastAsia="仿宋_GB2312"/>
          <w:sz w:val="32"/>
          <w:szCs w:val="32"/>
          <w:lang w:eastAsia="zh-CN"/>
        </w:rPr>
        <w:t>已下达</w:t>
      </w:r>
      <w:r>
        <w:rPr>
          <w:rFonts w:hint="eastAsia" w:ascii="仿宋_GB2312" w:eastAsia="仿宋_GB2312"/>
          <w:sz w:val="32"/>
          <w:szCs w:val="32"/>
        </w:rPr>
        <w:t>资金</w:t>
      </w:r>
      <w:r>
        <w:rPr>
          <w:rFonts w:hint="eastAsia" w:ascii="仿宋_GB2312" w:hAnsi="仿宋_GB2312" w:eastAsia="仿宋_GB2312"/>
          <w:kern w:val="1"/>
          <w:sz w:val="32"/>
          <w:szCs w:val="32"/>
        </w:rPr>
        <w:t>全部下拨至安铺镇、车板镇、高桥镇等18个镇并形成实际支出，支出率</w:t>
      </w:r>
      <w:r>
        <w:rPr>
          <w:rFonts w:hint="eastAsia" w:ascii="仿宋_GB2312" w:hAnsi="仿宋_GB2312" w:eastAsia="仿宋_GB2312"/>
          <w:kern w:val="1"/>
          <w:sz w:val="32"/>
          <w:szCs w:val="32"/>
          <w:lang w:eastAsia="zh-CN"/>
        </w:rPr>
        <w:t>达</w:t>
      </w:r>
      <w:r>
        <w:rPr>
          <w:rFonts w:hint="eastAsia" w:ascii="仿宋_GB2312" w:hAnsi="仿宋_GB2312" w:eastAsia="仿宋_GB2312"/>
          <w:kern w:val="1"/>
          <w:sz w:val="32"/>
          <w:szCs w:val="32"/>
          <w:lang w:val="en-US" w:eastAsia="zh-CN"/>
        </w:rPr>
        <w:t>99</w:t>
      </w:r>
      <w:r>
        <w:rPr>
          <w:rFonts w:hint="eastAsia" w:ascii="仿宋_GB2312" w:hAnsi="仿宋_GB2312" w:eastAsia="仿宋_GB2312"/>
          <w:kern w:val="1"/>
          <w:sz w:val="32"/>
          <w:szCs w:val="32"/>
        </w:rPr>
        <w:t>%。如期实现了绩效目标。资金支出符合财务管理要求，与具体项目挂钩，不存在资金被挪用问题。</w:t>
      </w:r>
    </w:p>
    <w:p w14:paraId="02768A70">
      <w:pPr>
        <w:numPr>
          <w:ilvl w:val="0"/>
          <w:numId w:val="1"/>
        </w:num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项目资金使用绩效</w:t>
      </w:r>
    </w:p>
    <w:p w14:paraId="4306B93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（一）资金投入情况</w:t>
      </w:r>
    </w:p>
    <w:p w14:paraId="4261BE8C">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1.资金到位情况。</w:t>
      </w:r>
    </w:p>
    <w:p w14:paraId="3CA648E5">
      <w:pPr>
        <w:spacing w:line="530" w:lineRule="exact"/>
        <w:ind w:firstLine="640"/>
        <w:rPr>
          <w:rFonts w:hint="eastAsia" w:ascii="仿宋_GB2312" w:hAnsi="仿宋_GB2312" w:eastAsia="仿宋_GB2312" w:cs="仿宋_GB2312"/>
          <w:color w:val="000000"/>
          <w:sz w:val="32"/>
          <w:szCs w:val="32"/>
        </w:rPr>
      </w:pPr>
      <w:r>
        <w:rPr>
          <w:rFonts w:hint="eastAsia" w:ascii="仿宋_GB2312" w:eastAsia="仿宋_GB2312"/>
          <w:sz w:val="32"/>
          <w:szCs w:val="32"/>
        </w:rPr>
        <w:t>2023年湛江市廉江市镇域公共基础设施建设项目预算</w:t>
      </w:r>
      <w:r>
        <w:rPr>
          <w:rFonts w:hint="eastAsia" w:ascii="仿宋_GB2312" w:eastAsia="仿宋_GB2312"/>
          <w:sz w:val="32"/>
          <w:szCs w:val="32"/>
          <w:lang w:eastAsia="zh-CN"/>
        </w:rPr>
        <w:t>已下达</w:t>
      </w:r>
      <w:r>
        <w:rPr>
          <w:rFonts w:hint="eastAsia" w:ascii="仿宋_GB2312" w:eastAsia="仿宋_GB2312"/>
          <w:sz w:val="32"/>
          <w:szCs w:val="32"/>
        </w:rPr>
        <w:t>资金</w:t>
      </w:r>
      <w:r>
        <w:rPr>
          <w:rFonts w:hint="eastAsia" w:ascii="仿宋_GB2312" w:eastAsia="仿宋_GB2312"/>
          <w:sz w:val="32"/>
          <w:szCs w:val="32"/>
          <w:lang w:val="en-US" w:eastAsia="zh-CN"/>
        </w:rPr>
        <w:t>10960</w:t>
      </w:r>
      <w:r>
        <w:rPr>
          <w:rFonts w:hint="eastAsia" w:ascii="仿宋_GB2312" w:eastAsia="仿宋_GB2312"/>
          <w:sz w:val="32"/>
          <w:szCs w:val="32"/>
        </w:rPr>
        <w:t>万元已全部到位并分配到各镇。</w:t>
      </w:r>
    </w:p>
    <w:p w14:paraId="7E29032B">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2.资金执行情况。</w:t>
      </w:r>
    </w:p>
    <w:p w14:paraId="4BAF1A08">
      <w:pPr>
        <w:spacing w:line="53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日，</w:t>
      </w:r>
      <w:r>
        <w:rPr>
          <w:rFonts w:hint="eastAsia"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年广州市对口帮扶乡村振兴驻镇帮镇扶村资金项目预算</w:t>
      </w:r>
      <w:r>
        <w:rPr>
          <w:rFonts w:hint="eastAsia" w:ascii="仿宋_GB2312" w:eastAsia="仿宋_GB2312"/>
          <w:sz w:val="32"/>
          <w:szCs w:val="32"/>
          <w:lang w:eastAsia="zh-CN"/>
        </w:rPr>
        <w:t>已下达</w:t>
      </w:r>
      <w:r>
        <w:rPr>
          <w:rFonts w:hint="eastAsia" w:ascii="仿宋_GB2312" w:eastAsia="仿宋_GB2312"/>
          <w:sz w:val="32"/>
          <w:szCs w:val="32"/>
        </w:rPr>
        <w:t>资金</w:t>
      </w:r>
      <w:r>
        <w:rPr>
          <w:rFonts w:hint="eastAsia" w:ascii="仿宋_GB2312" w:eastAsia="仿宋_GB2312"/>
          <w:sz w:val="32"/>
          <w:szCs w:val="32"/>
          <w:lang w:val="en-US" w:eastAsia="zh-CN"/>
        </w:rPr>
        <w:t>10960</w:t>
      </w:r>
      <w:r>
        <w:rPr>
          <w:rFonts w:hint="eastAsia" w:ascii="仿宋_GB2312" w:eastAsia="仿宋_GB2312"/>
          <w:sz w:val="32"/>
          <w:szCs w:val="32"/>
        </w:rPr>
        <w:t>万元已支出10841.26</w:t>
      </w:r>
      <w:r>
        <w:rPr>
          <w:rFonts w:hint="eastAsia" w:ascii="仿宋_GB2312" w:eastAsia="仿宋_GB2312"/>
          <w:sz w:val="32"/>
          <w:szCs w:val="32"/>
          <w:lang w:eastAsia="zh-CN"/>
        </w:rPr>
        <w:t>万元</w:t>
      </w:r>
      <w:r>
        <w:rPr>
          <w:rFonts w:hint="eastAsia" w:ascii="仿宋_GB2312" w:eastAsia="仿宋_GB2312"/>
          <w:sz w:val="32"/>
          <w:szCs w:val="32"/>
        </w:rPr>
        <w:t>，</w:t>
      </w:r>
      <w:r>
        <w:rPr>
          <w:rFonts w:hint="eastAsia" w:ascii="仿宋_GB2312" w:hAnsi="仿宋_GB2312" w:eastAsia="仿宋_GB2312" w:cs="仿宋_GB2312"/>
          <w:color w:val="000000"/>
          <w:sz w:val="32"/>
          <w:szCs w:val="32"/>
        </w:rPr>
        <w:t>预算执行率</w:t>
      </w:r>
      <w:r>
        <w:rPr>
          <w:rFonts w:hint="eastAsia" w:ascii="仿宋_GB2312" w:hAnsi="仿宋_GB2312" w:eastAsia="仿宋_GB2312" w:cs="仿宋_GB2312"/>
          <w:color w:val="000000"/>
          <w:sz w:val="32"/>
          <w:szCs w:val="32"/>
          <w:lang w:eastAsia="zh-CN"/>
        </w:rPr>
        <w:t>已达</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 xml:space="preserve">%。 </w:t>
      </w:r>
    </w:p>
    <w:p w14:paraId="55FFF8BC">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3.资金管理情况。</w:t>
      </w:r>
    </w:p>
    <w:p w14:paraId="048D5063">
      <w:pPr>
        <w:adjustRightInd w:val="0"/>
        <w:snapToGrid w:val="0"/>
        <w:spacing w:line="580" w:lineRule="exact"/>
        <w:ind w:firstLine="588" w:firstLineChars="200"/>
        <w:rPr>
          <w:rFonts w:ascii="仿宋_GB2312" w:eastAsia="仿宋_GB2312"/>
          <w:color w:val="000000"/>
          <w:sz w:val="32"/>
          <w:szCs w:val="32"/>
        </w:rPr>
      </w:pPr>
      <w:r>
        <w:rPr>
          <w:rFonts w:hint="eastAsia" w:ascii="仿宋_GB2312" w:hAnsi="仿宋_GB2312" w:eastAsia="仿宋_GB2312"/>
          <w:kern w:val="1"/>
          <w:sz w:val="32"/>
          <w:szCs w:val="32"/>
        </w:rPr>
        <w:t>为进一步推动衔接资金项目绩效管理工作，提高资金使用效益，我市严格落实全面实施预算绩效管理的要求，在预算执行过程中，对照《广东省乡村振兴驻镇帮镇扶村工作方案》（粤委发电〔2021〕60号）确定的绩效目标进行绩效运行监控，我市对项目设计、监理有关资金，工程项目建设施工及有关资金管理等进行详细规定，严格按照合同要求支付工程款及招投标经费等，项目建设资金专款专用，制定并出台《廉江市乡村振兴驻镇帮镇扶村项目实施细则和资金使用管理办法》（廉乡振组〔2022〕4号）等文件加强资金管理和使用，建立工作依据，以改革创新精神抓好工作落实，把握关键要义，增强资金管理与使用工作的科学性、预见性和主动性，全面推进乡村振兴。</w:t>
      </w:r>
    </w:p>
    <w:p w14:paraId="64F6EBBA">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（二）绩效目标完成情况</w:t>
      </w:r>
    </w:p>
    <w:p w14:paraId="59278C81">
      <w:pPr>
        <w:spacing w:line="600" w:lineRule="exact"/>
        <w:ind w:firstLine="600"/>
        <w:rPr>
          <w:rFonts w:ascii="仿宋_GB2312" w:hAnsi="仿宋_GB2312" w:eastAsia="仿宋_GB2312"/>
          <w:color w:val="FF0000"/>
          <w:kern w:val="1"/>
          <w:sz w:val="32"/>
          <w:szCs w:val="32"/>
        </w:rPr>
      </w:pPr>
      <w:r>
        <w:rPr>
          <w:rFonts w:hint="eastAsia" w:ascii="仿宋_GB2312" w:hAnsi="仿宋_GB2312" w:eastAsia="仿宋_GB2312"/>
          <w:kern w:val="1"/>
          <w:sz w:val="32"/>
          <w:szCs w:val="32"/>
        </w:rPr>
        <w:t>1.产出指标完成情况。</w:t>
      </w:r>
    </w:p>
    <w:p w14:paraId="2661A855">
      <w:pPr>
        <w:overflowPunct w:val="0"/>
        <w:snapToGrid w:val="0"/>
        <w:spacing w:line="600" w:lineRule="exact"/>
        <w:ind w:firstLine="588" w:firstLineChars="200"/>
        <w:rPr>
          <w:rFonts w:hint="eastAsia" w:ascii="宋体" w:hAnsi="宋体" w:eastAsia="仿宋_GB2312" w:cs="宋体"/>
          <w:color w:val="000000"/>
          <w:kern w:val="0"/>
          <w:sz w:val="32"/>
          <w:szCs w:val="32"/>
          <w:lang w:bidi="ar"/>
        </w:rPr>
      </w:pPr>
      <w:r>
        <w:rPr>
          <w:rFonts w:hint="eastAsia" w:ascii="宋体" w:hAnsi="宋体" w:eastAsia="仿宋_GB2312" w:cs="宋体"/>
          <w:color w:val="000000"/>
          <w:kern w:val="0"/>
          <w:sz w:val="32"/>
          <w:szCs w:val="32"/>
          <w:lang w:bidi="ar"/>
        </w:rPr>
        <w:t>评价基本指标主要是核准项目绩效（总）目标及项目阶段性绩效目标是否能达到预期的目标。基本指标主要选资金到位率，资金使用率和支出效果率等，评价基本指标选用定量指标和绩效指标。定量指标：即基本指标，包括资金到位率和资金使用率，具体计算如下：</w:t>
      </w:r>
    </w:p>
    <w:p w14:paraId="48CAC959">
      <w:pPr>
        <w:adjustRightInd w:val="0"/>
        <w:ind w:firstLine="2793" w:firstLineChars="950"/>
      </w:pPr>
      <w:r>
        <w:rPr>
          <w:sz w:val="32"/>
        </w:rPr>
        <mc:AlternateContent>
          <mc:Choice Requires="wps">
            <w:drawing>
              <wp:anchor distT="0" distB="0" distL="114300" distR="114300" simplePos="0" relativeHeight="251659264" behindDoc="0" locked="0" layoutInCell="1" allowOverlap="1">
                <wp:simplePos x="0" y="0"/>
                <wp:positionH relativeFrom="column">
                  <wp:posOffset>1778000</wp:posOffset>
                </wp:positionH>
                <wp:positionV relativeFrom="paragraph">
                  <wp:posOffset>386080</wp:posOffset>
                </wp:positionV>
                <wp:extent cx="1619250" cy="19050"/>
                <wp:effectExtent l="0" t="4445" r="0" b="5080"/>
                <wp:wrapNone/>
                <wp:docPr id="3" name="直接连接符 3"/>
                <wp:cNvGraphicFramePr/>
                <a:graphic xmlns:a="http://schemas.openxmlformats.org/drawingml/2006/main">
                  <a:graphicData uri="http://schemas.microsoft.com/office/word/2010/wordprocessingShape">
                    <wps:wsp>
                      <wps:cNvCnPr/>
                      <wps:spPr>
                        <a:xfrm flipV="1">
                          <a:off x="2737485" y="8589010"/>
                          <a:ext cx="1619250" cy="1905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flip:y;margin-left:140pt;margin-top:30.4pt;height:1.5pt;width:127.5pt;z-index:251659264;mso-width-relative:page;mso-height-relative:page;" filled="f" stroked="t" coordsize="21600,21600" o:gfxdata="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dDXnY1gAAAAkBAAAPAAAAAAAAAAEAIAAAACIAAABkcnMvZG93bnJldi54bWxQSwEC&#10;FAAUAAAACACHTuJA3k5+9PYBAADCAwAADgAAAAAAAAABACAAAAAlAQAAZHJzL2Uyb0RvYy54bWxQ&#10;SwUGAAAAAAYABgBZAQAAjQUAAAAA&#10;">
                <v:fill on="f" focussize="0,0"/>
                <v:stroke color="#000000" joinstyle="round"/>
                <v:imagedata o:title=""/>
                <o:lock v:ext="edit" aspectratio="f"/>
              </v:line>
            </w:pict>
          </mc:Fallback>
        </mc:AlternateContent>
      </w:r>
      <w:r>
        <w:rPr>
          <w:rFonts w:hint="eastAsia" w:ascii="仿宋_GB2312" w:hAnsi="仿宋_GB2312" w:cs="仿宋_GB2312"/>
          <w:spacing w:val="10"/>
          <w:kern w:val="0"/>
          <w:sz w:val="32"/>
          <w:szCs w:val="32"/>
        </w:rPr>
        <w:t>实际拨付到位金额</w:t>
      </w:r>
    </w:p>
    <w:p w14:paraId="0108E697">
      <w:pPr>
        <w:pStyle w:val="16"/>
        <w:snapToGrid/>
        <w:ind w:firstLine="628"/>
        <w:rPr>
          <w:rFonts w:cs="仿宋_GB2312"/>
          <w:spacing w:val="10"/>
          <w:kern w:val="0"/>
          <w:szCs w:val="32"/>
        </w:rPr>
      </w:pPr>
      <w:r>
        <w:rPr>
          <w:rFonts w:hint="eastAsia" w:cs="仿宋_GB2312"/>
          <w:spacing w:val="10"/>
          <w:kern w:val="0"/>
          <w:szCs w:val="32"/>
        </w:rPr>
        <w:t>资金到位率=     计划使用金额    ×100%</w:t>
      </w:r>
    </w:p>
    <w:p w14:paraId="13E438EC">
      <w:pPr>
        <w:adjustRightInd w:val="0"/>
        <w:ind w:firstLine="628" w:firstLineChars="200"/>
        <w:rPr>
          <w:rFonts w:ascii="仿宋_GB2312" w:hAnsi="仿宋_GB2312" w:cs="仿宋_GB2312"/>
          <w:spacing w:val="10"/>
          <w:kern w:val="0"/>
          <w:sz w:val="32"/>
          <w:szCs w:val="32"/>
        </w:rPr>
      </w:pPr>
    </w:p>
    <w:p w14:paraId="33AEBFA7">
      <w:pPr>
        <w:adjustRightInd w:val="0"/>
        <w:ind w:firstLine="2922" w:firstLineChars="994"/>
        <w:rPr>
          <w:rFonts w:ascii="仿宋_GB2312" w:hAnsi="仿宋_GB2312" w:cs="仿宋_GB2312"/>
          <w:spacing w:val="10"/>
          <w:kern w:val="0"/>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1816100</wp:posOffset>
                </wp:positionH>
                <wp:positionV relativeFrom="paragraph">
                  <wp:posOffset>367030</wp:posOffset>
                </wp:positionV>
                <wp:extent cx="1295400" cy="38100"/>
                <wp:effectExtent l="0" t="4445" r="0" b="14605"/>
                <wp:wrapNone/>
                <wp:docPr id="4" name="直接连接符 4"/>
                <wp:cNvGraphicFramePr/>
                <a:graphic xmlns:a="http://schemas.openxmlformats.org/drawingml/2006/main">
                  <a:graphicData uri="http://schemas.microsoft.com/office/word/2010/wordprocessingShape">
                    <wps:wsp>
                      <wps:cNvCnPr/>
                      <wps:spPr>
                        <a:xfrm flipV="1">
                          <a:off x="2832735" y="1069975"/>
                          <a:ext cx="1295400" cy="3810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flip:y;margin-left:143pt;margin-top:28.9pt;height:3pt;width:102pt;z-index:251660288;mso-width-relative:page;mso-height-relative:page;" filled="f" stroked="t" coordsize="21600,21600" o:gfxdata="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EBOSN2AAAAAkBAAAPAAAAAAAAAAEAIAAAACIAAABkcnMvZG93bnJldi54bWxQ&#10;SwECFAAUAAAACACHTuJAY6HoDPcBAADCAwAADgAAAAAAAAABACAAAAAnAQAAZHJzL2Uyb0RvYy54&#10;bWxQSwUGAAAAAAYABgBZAQAAkAUAAAAA&#10;">
                <v:fill on="f" focussize="0,0"/>
                <v:stroke color="#000000" joinstyle="round"/>
                <v:imagedata o:title=""/>
                <o:lock v:ext="edit" aspectratio="f"/>
              </v:line>
            </w:pict>
          </mc:Fallback>
        </mc:AlternateContent>
      </w:r>
      <w:r>
        <w:rPr>
          <w:rFonts w:hint="eastAsia" w:ascii="仿宋_GB2312" w:hAnsi="仿宋_GB2312" w:cs="仿宋_GB2312"/>
          <w:spacing w:val="10"/>
          <w:kern w:val="0"/>
          <w:sz w:val="32"/>
          <w:szCs w:val="32"/>
        </w:rPr>
        <w:t>实际使用金额</w:t>
      </w:r>
    </w:p>
    <w:p w14:paraId="55CBC956">
      <w:pPr>
        <w:pStyle w:val="16"/>
        <w:snapToGrid/>
        <w:ind w:firstLine="628"/>
        <w:rPr>
          <w:rFonts w:cs="仿宋_GB2312"/>
          <w:spacing w:val="10"/>
          <w:kern w:val="0"/>
          <w:szCs w:val="32"/>
        </w:rPr>
      </w:pPr>
      <w:r>
        <w:rPr>
          <w:rFonts w:hint="eastAsia" w:cs="仿宋_GB2312"/>
          <w:spacing w:val="10"/>
          <w:kern w:val="0"/>
          <w:szCs w:val="32"/>
        </w:rPr>
        <w:t>资金使用率=    实际拨付金额  ×100%</w:t>
      </w:r>
    </w:p>
    <w:p w14:paraId="1DADEA69">
      <w:pPr>
        <w:adjustRightInd w:val="0"/>
        <w:ind w:firstLine="628" w:firstLineChars="200"/>
        <w:rPr>
          <w:rFonts w:ascii="仿宋_GB2312" w:hAnsi="仿宋_GB2312" w:cs="仿宋_GB2312"/>
          <w:spacing w:val="10"/>
          <w:kern w:val="0"/>
          <w:sz w:val="32"/>
          <w:szCs w:val="32"/>
        </w:rPr>
      </w:pPr>
    </w:p>
    <w:p w14:paraId="22C331CF">
      <w:pPr>
        <w:adjustRightInd w:val="0"/>
        <w:ind w:firstLine="2349" w:firstLineChars="748"/>
        <w:rPr>
          <w:rFonts w:ascii="仿宋_GB2312" w:hAnsi="仿宋_GB2312" w:cs="仿宋_GB2312"/>
          <w:spacing w:val="10"/>
          <w:kern w:val="0"/>
          <w:sz w:val="32"/>
          <w:szCs w:val="32"/>
        </w:rPr>
      </w:pPr>
    </w:p>
    <w:p w14:paraId="1147C0AA">
      <w:pPr>
        <w:adjustRightInd w:val="0"/>
        <w:ind w:firstLine="4082" w:firstLineChars="1300"/>
        <w:rPr>
          <w:rFonts w:hint="eastAsia" w:ascii="仿宋_GB2312" w:hAnsi="仿宋_GB2312" w:cs="仿宋_GB2312"/>
          <w:spacing w:val="10"/>
          <w:kern w:val="0"/>
          <w:sz w:val="32"/>
          <w:szCs w:val="32"/>
        </w:rPr>
      </w:pPr>
    </w:p>
    <w:p w14:paraId="57C0B777">
      <w:pPr>
        <w:adjustRightInd w:val="0"/>
        <w:rPr>
          <w:rFonts w:hint="eastAsia" w:ascii="仿宋_GB2312" w:hAnsi="仿宋_GB2312" w:eastAsia="仿宋_GB2312" w:cs="仿宋_GB2312"/>
          <w:spacing w:val="10"/>
          <w:kern w:val="0"/>
          <w:sz w:val="32"/>
          <w:szCs w:val="32"/>
        </w:rPr>
      </w:pPr>
    </w:p>
    <w:p w14:paraId="79889523">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基本指标评价分析表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3FFE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89E896C">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序号</w:t>
            </w:r>
          </w:p>
        </w:tc>
        <w:tc>
          <w:tcPr>
            <w:tcW w:w="2841" w:type="dxa"/>
            <w:noWrap w:val="0"/>
            <w:vAlign w:val="top"/>
          </w:tcPr>
          <w:p w14:paraId="106DDA2D">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基本指标</w:t>
            </w:r>
          </w:p>
        </w:tc>
        <w:tc>
          <w:tcPr>
            <w:tcW w:w="2841" w:type="dxa"/>
            <w:noWrap w:val="0"/>
            <w:vAlign w:val="top"/>
          </w:tcPr>
          <w:p w14:paraId="479BF8D4">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资金</w:t>
            </w:r>
          </w:p>
        </w:tc>
      </w:tr>
      <w:tr w14:paraId="4A0F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512A7D8">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1</w:t>
            </w:r>
          </w:p>
        </w:tc>
        <w:tc>
          <w:tcPr>
            <w:tcW w:w="2841" w:type="dxa"/>
            <w:noWrap w:val="0"/>
            <w:vAlign w:val="top"/>
          </w:tcPr>
          <w:p w14:paraId="7B79D7A6">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资金到位率</w:t>
            </w:r>
          </w:p>
        </w:tc>
        <w:tc>
          <w:tcPr>
            <w:tcW w:w="2841" w:type="dxa"/>
            <w:noWrap w:val="0"/>
            <w:vAlign w:val="top"/>
          </w:tcPr>
          <w:p w14:paraId="3A98C859">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100%</w:t>
            </w:r>
          </w:p>
        </w:tc>
      </w:tr>
      <w:tr w14:paraId="593E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A945BC5">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2</w:t>
            </w:r>
          </w:p>
        </w:tc>
        <w:tc>
          <w:tcPr>
            <w:tcW w:w="2841" w:type="dxa"/>
            <w:noWrap w:val="0"/>
            <w:vAlign w:val="top"/>
          </w:tcPr>
          <w:p w14:paraId="288329F5">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rPr>
              <w:t>资金支出实现率</w:t>
            </w:r>
          </w:p>
        </w:tc>
        <w:tc>
          <w:tcPr>
            <w:tcW w:w="2841" w:type="dxa"/>
            <w:noWrap w:val="0"/>
            <w:vAlign w:val="top"/>
          </w:tcPr>
          <w:p w14:paraId="0E73A237">
            <w:pPr>
              <w:adjustRightInd w:val="0"/>
              <w:jc w:val="center"/>
              <w:rPr>
                <w:rFonts w:ascii="仿宋_GB2312" w:hAnsi="仿宋_GB2312" w:cs="仿宋_GB2312"/>
                <w:spacing w:val="10"/>
                <w:kern w:val="0"/>
                <w:sz w:val="32"/>
                <w:szCs w:val="32"/>
              </w:rPr>
            </w:pPr>
            <w:r>
              <w:rPr>
                <w:rFonts w:hint="eastAsia" w:ascii="仿宋_GB2312" w:hAnsi="仿宋_GB2312" w:cs="仿宋_GB2312"/>
                <w:spacing w:val="10"/>
                <w:kern w:val="0"/>
                <w:sz w:val="32"/>
                <w:szCs w:val="32"/>
                <w:lang w:val="en-US" w:eastAsia="zh-CN"/>
              </w:rPr>
              <w:t>99</w:t>
            </w:r>
            <w:r>
              <w:rPr>
                <w:rFonts w:hint="eastAsia" w:ascii="仿宋_GB2312" w:hAnsi="仿宋_GB2312" w:cs="仿宋_GB2312"/>
                <w:spacing w:val="10"/>
                <w:kern w:val="0"/>
                <w:sz w:val="32"/>
                <w:szCs w:val="32"/>
              </w:rPr>
              <w:t>%</w:t>
            </w:r>
          </w:p>
        </w:tc>
      </w:tr>
    </w:tbl>
    <w:p w14:paraId="3C88F9C4">
      <w:pPr>
        <w:overflowPunct w:val="0"/>
        <w:snapToGrid w:val="0"/>
        <w:spacing w:line="600" w:lineRule="exact"/>
        <w:ind w:firstLine="588" w:firstLineChars="200"/>
        <w:rPr>
          <w:rFonts w:hint="eastAsia" w:ascii="宋体" w:hAnsi="宋体" w:eastAsia="仿宋_GB2312" w:cs="宋体"/>
          <w:color w:val="000000"/>
          <w:kern w:val="0"/>
          <w:sz w:val="32"/>
          <w:szCs w:val="32"/>
          <w:lang w:bidi="ar"/>
        </w:rPr>
      </w:pPr>
      <w:r>
        <w:rPr>
          <w:rFonts w:hint="eastAsia" w:ascii="宋体" w:hAnsi="宋体" w:eastAsia="仿宋_GB2312" w:cs="宋体"/>
          <w:color w:val="000000"/>
          <w:kern w:val="0"/>
          <w:sz w:val="32"/>
          <w:szCs w:val="32"/>
          <w:lang w:bidi="ar"/>
        </w:rPr>
        <w:t>根据项目定量指标（基础指标）分析情况，本项目定量指标能确保工程进展顺利，按质量、时间完成工程目标。</w:t>
      </w:r>
    </w:p>
    <w:p w14:paraId="3BDE87F2">
      <w:pPr>
        <w:overflowPunct w:val="0"/>
        <w:snapToGrid w:val="0"/>
        <w:spacing w:line="600" w:lineRule="exact"/>
        <w:ind w:firstLine="588" w:firstLineChars="200"/>
        <w:rPr>
          <w:rFonts w:hint="eastAsia" w:ascii="宋体" w:hAnsi="宋体" w:eastAsia="仿宋_GB2312" w:cs="宋体"/>
          <w:color w:val="000000"/>
          <w:kern w:val="0"/>
          <w:sz w:val="32"/>
          <w:szCs w:val="32"/>
          <w:lang w:bidi="ar"/>
        </w:rPr>
      </w:pPr>
      <w:r>
        <w:rPr>
          <w:rFonts w:hint="eastAsia" w:ascii="宋体" w:hAnsi="宋体" w:eastAsia="仿宋_GB2312" w:cs="宋体"/>
          <w:color w:val="000000"/>
          <w:kern w:val="0"/>
          <w:sz w:val="32"/>
          <w:szCs w:val="32"/>
          <w:lang w:bidi="ar"/>
        </w:rPr>
        <w:t>在质量效益指标方面，各项建设严格按照相关技术标准设计要求，按照验收标准进行施工。</w:t>
      </w:r>
    </w:p>
    <w:p w14:paraId="6E5E4DDA">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2.效益指标完成情况。</w:t>
      </w:r>
    </w:p>
    <w:p w14:paraId="15306EFE">
      <w:pPr>
        <w:overflowPunct w:val="0"/>
        <w:snapToGrid w:val="0"/>
        <w:spacing w:line="600" w:lineRule="exact"/>
        <w:ind w:firstLine="588" w:firstLineChars="200"/>
        <w:rPr>
          <w:rFonts w:hint="eastAsia" w:ascii="宋体" w:hAnsi="宋体" w:eastAsia="仿宋_GB2312" w:cs="宋体"/>
          <w:color w:val="000000"/>
          <w:kern w:val="0"/>
          <w:sz w:val="32"/>
          <w:szCs w:val="32"/>
          <w:lang w:bidi="ar"/>
        </w:rPr>
      </w:pPr>
      <w:r>
        <w:rPr>
          <w:rFonts w:hint="eastAsia" w:ascii="宋体" w:hAnsi="宋体" w:eastAsia="仿宋_GB2312" w:cs="宋体"/>
          <w:color w:val="000000"/>
          <w:kern w:val="0"/>
          <w:sz w:val="32"/>
          <w:szCs w:val="32"/>
          <w:lang w:bidi="ar"/>
        </w:rPr>
        <w:t>在项目绩效总目标方面，实现了绩效总目标所预定的有关目标，达到了项目预订的相关要求。在阶段性目标方面，严格按照工程设计、目标与方案进行施工，严格按照工程标价控制工程造价。按照</w:t>
      </w:r>
      <w:r>
        <w:rPr>
          <w:rFonts w:hint="eastAsia" w:ascii="仿宋_GB2312" w:hAnsi="仿宋_GB2312" w:eastAsia="仿宋_GB2312"/>
          <w:kern w:val="1"/>
          <w:sz w:val="32"/>
          <w:szCs w:val="32"/>
        </w:rPr>
        <w:t>《广东省乡村振兴驻镇帮镇扶村工作方案》的要求，</w:t>
      </w:r>
      <w:r>
        <w:rPr>
          <w:rFonts w:hint="eastAsia" w:ascii="宋体" w:hAnsi="宋体" w:eastAsia="仿宋_GB2312" w:cs="宋体"/>
          <w:color w:val="000000"/>
          <w:kern w:val="0"/>
          <w:sz w:val="32"/>
          <w:szCs w:val="32"/>
          <w:lang w:bidi="ar"/>
        </w:rPr>
        <w:t>阶段完成了1</w:t>
      </w:r>
      <w:r>
        <w:rPr>
          <w:rFonts w:ascii="宋体" w:hAnsi="宋体" w:eastAsia="仿宋_GB2312" w:cs="宋体"/>
          <w:color w:val="000000"/>
          <w:kern w:val="0"/>
          <w:sz w:val="32"/>
          <w:szCs w:val="32"/>
          <w:lang w:bidi="ar"/>
        </w:rPr>
        <w:t>8</w:t>
      </w:r>
      <w:r>
        <w:rPr>
          <w:rFonts w:hint="eastAsia" w:ascii="宋体" w:hAnsi="宋体" w:eastAsia="仿宋_GB2312" w:cs="宋体"/>
          <w:color w:val="000000"/>
          <w:kern w:val="0"/>
          <w:sz w:val="32"/>
          <w:szCs w:val="32"/>
          <w:lang w:bidi="ar"/>
        </w:rPr>
        <w:t>个镇的驻镇帮镇扶村工作。</w:t>
      </w:r>
    </w:p>
    <w:p w14:paraId="6319F0AC">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3.满意度指标完成情况。</w:t>
      </w:r>
    </w:p>
    <w:p w14:paraId="7C682FDE">
      <w:pPr>
        <w:overflowPunct w:val="0"/>
        <w:snapToGrid w:val="0"/>
        <w:spacing w:line="600" w:lineRule="exact"/>
        <w:ind w:firstLine="588" w:firstLineChars="200"/>
        <w:rPr>
          <w:rFonts w:ascii="宋体" w:hAnsi="宋体" w:eastAsia="仿宋_GB2312" w:cs="宋体"/>
          <w:color w:val="000000"/>
          <w:kern w:val="0"/>
          <w:sz w:val="32"/>
          <w:szCs w:val="32"/>
          <w:lang w:bidi="ar"/>
        </w:rPr>
      </w:pPr>
      <w:r>
        <w:rPr>
          <w:rFonts w:hint="eastAsia" w:ascii="仿宋_GB2312" w:hAnsi="仿宋_GB2312" w:eastAsia="仿宋_GB2312"/>
          <w:kern w:val="1"/>
          <w:sz w:val="32"/>
          <w:szCs w:val="32"/>
        </w:rPr>
        <w:t>安铺镇、车板镇、高桥镇等18个镇的帮镇扶村工作</w:t>
      </w:r>
      <w:r>
        <w:rPr>
          <w:rFonts w:hint="eastAsia" w:ascii="宋体" w:hAnsi="宋体" w:eastAsia="仿宋_GB2312" w:cs="宋体"/>
          <w:color w:val="000000"/>
          <w:kern w:val="0"/>
          <w:sz w:val="32"/>
          <w:szCs w:val="32"/>
          <w:lang w:bidi="ar"/>
        </w:rPr>
        <w:t>效果明显，生态环境良好、农民持续增收、社会和谐稳定，提升农民群众获得感幸福感，服务对象满意度≥90%以上。</w:t>
      </w:r>
    </w:p>
    <w:p w14:paraId="0282C5DF">
      <w:pPr>
        <w:spacing w:line="600" w:lineRule="exact"/>
        <w:ind w:firstLine="600"/>
        <w:rPr>
          <w:rFonts w:ascii="黑体" w:hAnsi="黑体" w:eastAsia="黑体" w:cs="黑体"/>
          <w:kern w:val="1"/>
          <w:sz w:val="32"/>
          <w:szCs w:val="32"/>
        </w:rPr>
      </w:pPr>
      <w:r>
        <w:rPr>
          <w:rFonts w:hint="eastAsia" w:ascii="黑体" w:hAnsi="黑体" w:eastAsia="黑体" w:cs="黑体"/>
          <w:kern w:val="1"/>
          <w:sz w:val="32"/>
          <w:szCs w:val="32"/>
        </w:rPr>
        <w:t>五、主要经验、存在的问题和偏离绩效目标的原因分析</w:t>
      </w:r>
    </w:p>
    <w:p w14:paraId="69884B70">
      <w:pPr>
        <w:tabs>
          <w:tab w:val="left" w:pos="7080"/>
        </w:tabs>
        <w:ind w:firstLine="588" w:firstLineChars="200"/>
        <w:outlineLvl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资金</w:t>
      </w:r>
      <w:r>
        <w:rPr>
          <w:rFonts w:hint="eastAsia" w:ascii="仿宋_GB2312" w:hAnsi="仿宋_GB2312" w:eastAsia="仿宋_GB2312" w:cs="仿宋_GB2312"/>
          <w:color w:val="000000"/>
          <w:sz w:val="32"/>
          <w:szCs w:val="32"/>
        </w:rPr>
        <w:t>项目得到廉江市相关职能部门的大力支持，严格统筹管理，步步把关，把投资金额控制到预算范围内，使工程能够顺利地完成。项目建设按照设计要求</w:t>
      </w:r>
      <w:r>
        <w:rPr>
          <w:rFonts w:hint="eastAsia" w:ascii="仿宋_GB2312" w:hAnsi="仿宋_GB2312" w:eastAsia="仿宋_GB2312" w:cs="仿宋_GB2312"/>
          <w:color w:val="000000"/>
          <w:sz w:val="32"/>
          <w:szCs w:val="32"/>
          <w:lang w:eastAsia="zh-CN"/>
        </w:rPr>
        <w:t>与实地情况</w:t>
      </w:r>
      <w:r>
        <w:rPr>
          <w:rFonts w:hint="eastAsia" w:ascii="仿宋_GB2312" w:hAnsi="仿宋_GB2312" w:eastAsia="仿宋_GB2312" w:cs="仿宋_GB2312"/>
          <w:color w:val="000000"/>
          <w:sz w:val="32"/>
          <w:szCs w:val="32"/>
        </w:rPr>
        <w:t>进行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截至7月底，</w:t>
      </w:r>
      <w:r>
        <w:rPr>
          <w:rFonts w:hint="eastAsia" w:ascii="仿宋_GB2312" w:hAnsi="仿宋_GB2312" w:eastAsia="仿宋_GB2312" w:cs="仿宋_GB2312"/>
          <w:color w:val="000000"/>
          <w:sz w:val="32"/>
          <w:szCs w:val="32"/>
          <w:lang w:eastAsia="zh-CN"/>
        </w:rPr>
        <w:t>该笔</w:t>
      </w:r>
      <w:r>
        <w:rPr>
          <w:rFonts w:hint="eastAsia" w:ascii="仿宋_GB2312" w:hAnsi="仿宋_GB2312" w:eastAsia="仿宋_GB2312" w:cs="仿宋_GB2312"/>
          <w:color w:val="000000"/>
          <w:sz w:val="32"/>
          <w:szCs w:val="32"/>
        </w:rPr>
        <w:t>专项资金</w:t>
      </w:r>
      <w:r>
        <w:rPr>
          <w:rFonts w:hint="eastAsia" w:ascii="仿宋_GB2312" w:hAnsi="仿宋_GB2312" w:eastAsia="仿宋_GB2312" w:cs="仿宋_GB2312"/>
          <w:color w:val="000000"/>
          <w:sz w:val="32"/>
          <w:szCs w:val="32"/>
          <w:lang w:eastAsia="zh-CN"/>
        </w:rPr>
        <w:t>实际已下达</w:t>
      </w:r>
      <w:r>
        <w:rPr>
          <w:rFonts w:hint="eastAsia" w:ascii="仿宋_GB2312" w:hAnsi="仿宋_GB2312" w:eastAsia="仿宋_GB2312" w:cs="仿宋_GB2312"/>
          <w:color w:val="000000"/>
          <w:sz w:val="32"/>
          <w:szCs w:val="32"/>
        </w:rPr>
        <w:t>10960万元</w:t>
      </w:r>
      <w:r>
        <w:rPr>
          <w:rFonts w:hint="eastAsia" w:ascii="仿宋_GB2312" w:hAnsi="仿宋_GB2312" w:eastAsia="仿宋_GB2312" w:cs="仿宋_GB2312"/>
          <w:color w:val="000000"/>
          <w:sz w:val="32"/>
          <w:szCs w:val="32"/>
          <w:lang w:eastAsia="zh-CN"/>
        </w:rPr>
        <w:t>全部拨付到镇</w:t>
      </w:r>
      <w:r>
        <w:rPr>
          <w:rFonts w:hint="eastAsia" w:ascii="仿宋_GB2312" w:hAnsi="仿宋_GB2312" w:eastAsia="仿宋_GB2312" w:cs="仿宋_GB2312"/>
          <w:color w:val="000000"/>
          <w:sz w:val="32"/>
          <w:szCs w:val="32"/>
        </w:rPr>
        <w:t>，已支出10841万元，总体支出进度达98.9%。但在具体执行中仍存在两方面问题：一是报账资料准备滞后，镇政府未准备好报账资料318万元，影响资金及时拨付；二是资金沉淀镇级账户，已提供</w:t>
      </w:r>
      <w:r>
        <w:rPr>
          <w:rFonts w:hint="eastAsia" w:ascii="仿宋_GB2312" w:hAnsi="仿宋_GB2312" w:eastAsia="仿宋_GB2312" w:cs="仿宋_GB2312"/>
          <w:color w:val="000000"/>
          <w:sz w:val="32"/>
          <w:szCs w:val="32"/>
          <w:lang w:eastAsia="zh-CN"/>
        </w:rPr>
        <w:t>报账</w:t>
      </w:r>
      <w:r>
        <w:rPr>
          <w:rFonts w:hint="eastAsia" w:ascii="仿宋_GB2312" w:hAnsi="仿宋_GB2312" w:eastAsia="仿宋_GB2312" w:cs="仿宋_GB2312"/>
          <w:color w:val="000000"/>
          <w:sz w:val="32"/>
          <w:szCs w:val="32"/>
        </w:rPr>
        <w:t>资料但未实际支出642万元，资金使用效益未达预期。</w:t>
      </w:r>
    </w:p>
    <w:p w14:paraId="2C12F802">
      <w:pPr>
        <w:tabs>
          <w:tab w:val="left" w:pos="7080"/>
        </w:tabs>
        <w:ind w:firstLine="588" w:firstLineChars="200"/>
        <w:outlineLvl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原因分析：</w:t>
      </w:r>
      <w:r>
        <w:rPr>
          <w:rFonts w:hint="eastAsia" w:ascii="仿宋_GB2312" w:hAnsi="仿宋_GB2312" w:eastAsia="仿宋_GB2312" w:cs="仿宋_GB2312"/>
          <w:color w:val="000000"/>
          <w:sz w:val="32"/>
          <w:szCs w:val="32"/>
        </w:rPr>
        <w:t>项目前期准备不</w:t>
      </w:r>
      <w:r>
        <w:rPr>
          <w:rFonts w:hint="eastAsia" w:ascii="仿宋_GB2312" w:hAnsi="仿宋_GB2312" w:eastAsia="仿宋_GB2312" w:cs="仿宋_GB2312"/>
          <w:color w:val="000000"/>
          <w:sz w:val="32"/>
          <w:szCs w:val="32"/>
          <w:lang w:eastAsia="zh-CN"/>
        </w:rPr>
        <w:t>够</w:t>
      </w:r>
      <w:r>
        <w:rPr>
          <w:rFonts w:hint="eastAsia" w:ascii="仿宋_GB2312" w:hAnsi="仿宋_GB2312" w:eastAsia="仿宋_GB2312" w:cs="仿宋_GB2312"/>
          <w:color w:val="000000"/>
          <w:sz w:val="32"/>
          <w:szCs w:val="32"/>
        </w:rPr>
        <w:t>充分，资料收集整理责任落实不到位；部分项目验收结算周期较长；财务人员对报账流程和资料要求掌握不够精准</w:t>
      </w:r>
      <w:r>
        <w:rPr>
          <w:rFonts w:hint="eastAsia" w:ascii="仿宋_GB2312" w:hAnsi="仿宋_GB2312" w:eastAsia="仿宋_GB2312" w:cs="仿宋_GB2312"/>
          <w:color w:val="000000"/>
          <w:sz w:val="32"/>
          <w:szCs w:val="32"/>
          <w:lang w:eastAsia="zh-CN"/>
        </w:rPr>
        <w:t>；我局与镇街沟通不够及时不够充分</w:t>
      </w:r>
      <w:r>
        <w:rPr>
          <w:rFonts w:hint="eastAsia" w:ascii="仿宋_GB2312" w:hAnsi="仿宋_GB2312" w:eastAsia="仿宋_GB2312" w:cs="仿宋_GB2312"/>
          <w:color w:val="000000"/>
          <w:sz w:val="32"/>
          <w:szCs w:val="32"/>
        </w:rPr>
        <w:t>。</w:t>
      </w:r>
    </w:p>
    <w:p w14:paraId="74B57BEC">
      <w:pPr>
        <w:tabs>
          <w:tab w:val="left" w:pos="7080"/>
        </w:tabs>
        <w:ind w:firstLine="588" w:firstLineChars="200"/>
        <w:outlineLvl w:val="0"/>
        <w:rPr>
          <w:rFonts w:hint="eastAsia" w:ascii="仿宋_GB2312" w:hAnsi="仿宋_GB2312" w:eastAsia="仿宋_GB2312" w:cs="仿宋_GB2312"/>
          <w:color w:val="000000"/>
          <w:sz w:val="32"/>
          <w:szCs w:val="32"/>
          <w:lang w:val="en-US" w:eastAsia="zh-CN"/>
        </w:rPr>
      </w:pPr>
    </w:p>
    <w:p w14:paraId="071FEFDA">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六、改进意见</w:t>
      </w:r>
    </w:p>
    <w:p w14:paraId="57E6F553">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cs="仿宋_GB2312"/>
          <w:color w:val="000000"/>
          <w:sz w:val="32"/>
          <w:szCs w:val="32"/>
        </w:rPr>
        <w:t>建立定期</w:t>
      </w:r>
      <w:r>
        <w:rPr>
          <w:rFonts w:hint="eastAsia" w:ascii="仿宋_GB2312" w:hAnsi="仿宋_GB2312" w:eastAsia="仿宋_GB2312" w:cs="仿宋_GB2312"/>
          <w:color w:val="000000"/>
          <w:sz w:val="32"/>
          <w:szCs w:val="32"/>
          <w:lang w:eastAsia="zh-CN"/>
        </w:rPr>
        <w:t>协商</w:t>
      </w:r>
      <w:r>
        <w:rPr>
          <w:rFonts w:hint="eastAsia" w:ascii="仿宋_GB2312" w:hAnsi="仿宋_GB2312" w:eastAsia="仿宋_GB2312" w:cs="仿宋_GB2312"/>
          <w:color w:val="000000"/>
          <w:sz w:val="32"/>
          <w:szCs w:val="32"/>
        </w:rPr>
        <w:t>制度。</w:t>
      </w:r>
      <w:r>
        <w:rPr>
          <w:rFonts w:hint="eastAsia" w:ascii="仿宋_GB2312" w:hAnsi="仿宋_GB2312" w:eastAsia="仿宋_GB2312" w:cs="仿宋_GB2312"/>
          <w:color w:val="000000"/>
          <w:sz w:val="32"/>
          <w:szCs w:val="32"/>
          <w:lang w:eastAsia="zh-CN"/>
        </w:rPr>
        <w:t>定期</w:t>
      </w:r>
      <w:r>
        <w:rPr>
          <w:rFonts w:hint="eastAsia" w:ascii="仿宋_GB2312" w:hAnsi="仿宋_GB2312" w:eastAsia="仿宋_GB2312" w:cs="仿宋_GB2312"/>
          <w:color w:val="000000"/>
          <w:sz w:val="32"/>
          <w:szCs w:val="32"/>
        </w:rPr>
        <w:t>核对未支出资金清单，明确资料准备和支出时限。实行分类施策。对资料未准备部分，倒排工期、专人跟踪；对已提供资料未支出部分，协调施工方加快结算进度，并建立通报制度，对进度滞后的镇及时预警提醒</w:t>
      </w:r>
      <w:r>
        <w:rPr>
          <w:rFonts w:hint="eastAsia" w:ascii="仿宋_GB2312" w:hAnsi="仿宋_GB2312" w:eastAsia="仿宋_GB2312" w:cs="仿宋_GB2312"/>
          <w:color w:val="000000"/>
          <w:sz w:val="32"/>
          <w:szCs w:val="32"/>
          <w:lang w:eastAsia="zh-CN"/>
        </w:rPr>
        <w:t>。确保</w:t>
      </w:r>
      <w:r>
        <w:rPr>
          <w:rFonts w:hint="eastAsia" w:ascii="仿宋_GB2312" w:hAnsi="仿宋_GB2312" w:eastAsia="仿宋_GB2312" w:cs="仿宋_GB2312"/>
          <w:color w:val="000000"/>
          <w:sz w:val="32"/>
          <w:szCs w:val="32"/>
        </w:rPr>
        <w:t>加快资金</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，加强对绩效目标科学性、可行性、实效性进行管理，确保有需求、能完成、见成效。</w:t>
      </w:r>
    </w:p>
    <w:p w14:paraId="61CD1062">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七、绩效自评结果拟应用和公开情况</w:t>
      </w:r>
    </w:p>
    <w:p w14:paraId="1D5C9009">
      <w:pPr>
        <w:spacing w:line="530" w:lineRule="exact"/>
        <w:ind w:firstLine="641"/>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（一）绩效自评结果拟应用。</w:t>
      </w:r>
    </w:p>
    <w:p w14:paraId="5C4F4AE2">
      <w:pPr>
        <w:spacing w:line="530" w:lineRule="exact"/>
        <w:ind w:firstLine="588"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将资金绩效</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结果及时反馈</w:t>
      </w:r>
      <w:r>
        <w:rPr>
          <w:rFonts w:hint="eastAsia" w:ascii="仿宋_GB2312" w:hAnsi="仿宋_GB2312" w:eastAsia="仿宋_GB2312" w:cs="仿宋_GB2312"/>
          <w:color w:val="000000"/>
          <w:sz w:val="32"/>
          <w:szCs w:val="32"/>
        </w:rPr>
        <w:t>相关</w:t>
      </w:r>
      <w:r>
        <w:rPr>
          <w:rFonts w:ascii="仿宋_GB2312" w:hAnsi="仿宋_GB2312" w:eastAsia="仿宋_GB2312" w:cs="仿宋_GB2312"/>
          <w:color w:val="000000"/>
          <w:sz w:val="32"/>
          <w:szCs w:val="32"/>
        </w:rPr>
        <w:t>单位，督促其整改</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中发现的问题，促进其提高预算管理水平；</w:t>
      </w:r>
    </w:p>
    <w:p w14:paraId="60585BA3">
      <w:pPr>
        <w:spacing w:line="530" w:lineRule="exact"/>
        <w:ind w:firstLine="588"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将资金绩效</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报告向市政府报送，为其决策提供依据；</w:t>
      </w:r>
    </w:p>
    <w:p w14:paraId="2D8C7A32">
      <w:pPr>
        <w:spacing w:line="530" w:lineRule="exact"/>
        <w:ind w:firstLine="588"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建立绩效评价结果和预算安排有机结合机制，将</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结果作为</w:t>
      </w:r>
      <w:r>
        <w:rPr>
          <w:rFonts w:hint="eastAsia" w:ascii="仿宋_GB2312" w:hAnsi="仿宋_GB2312" w:eastAsia="仿宋_GB2312" w:cs="仿宋_GB2312"/>
          <w:color w:val="000000"/>
          <w:sz w:val="32"/>
          <w:szCs w:val="32"/>
        </w:rPr>
        <w:t>后续</w:t>
      </w:r>
      <w:r>
        <w:rPr>
          <w:rFonts w:ascii="仿宋_GB2312" w:hAnsi="仿宋_GB2312" w:eastAsia="仿宋_GB2312" w:cs="仿宋_GB2312"/>
          <w:color w:val="000000"/>
          <w:sz w:val="32"/>
          <w:szCs w:val="32"/>
        </w:rPr>
        <w:t>安排涉农资金的重要依据，绩效</w:t>
      </w:r>
      <w:r>
        <w:rPr>
          <w:rFonts w:hint="eastAsia" w:ascii="仿宋_GB2312" w:hAnsi="仿宋_GB2312" w:eastAsia="仿宋_GB2312" w:cs="仿宋_GB2312"/>
          <w:color w:val="000000"/>
          <w:sz w:val="32"/>
          <w:szCs w:val="32"/>
        </w:rPr>
        <w:t>目标完成较</w:t>
      </w:r>
      <w:r>
        <w:rPr>
          <w:rFonts w:ascii="仿宋_GB2312" w:hAnsi="仿宋_GB2312" w:eastAsia="仿宋_GB2312" w:cs="仿宋_GB2312"/>
          <w:color w:val="000000"/>
          <w:sz w:val="32"/>
          <w:szCs w:val="32"/>
        </w:rPr>
        <w:t>好的</w:t>
      </w:r>
      <w:r>
        <w:rPr>
          <w:rFonts w:hint="eastAsia" w:ascii="仿宋_GB2312" w:hAnsi="仿宋_GB2312" w:eastAsia="仿宋_GB2312" w:cs="仿宋_GB2312"/>
          <w:color w:val="000000"/>
          <w:sz w:val="32"/>
          <w:szCs w:val="32"/>
        </w:rPr>
        <w:t>，资金适当倾斜安排，</w:t>
      </w:r>
      <w:r>
        <w:rPr>
          <w:rFonts w:ascii="仿宋_GB2312" w:hAnsi="仿宋_GB2312" w:eastAsia="仿宋_GB2312" w:cs="仿宋_GB2312"/>
          <w:color w:val="000000"/>
          <w:sz w:val="32"/>
          <w:szCs w:val="32"/>
        </w:rPr>
        <w:t>绩效</w:t>
      </w:r>
      <w:r>
        <w:rPr>
          <w:rFonts w:hint="eastAsia" w:ascii="仿宋_GB2312" w:hAnsi="仿宋_GB2312" w:eastAsia="仿宋_GB2312" w:cs="仿宋_GB2312"/>
          <w:color w:val="000000"/>
          <w:sz w:val="32"/>
          <w:szCs w:val="32"/>
        </w:rPr>
        <w:t>目标完成较差</w:t>
      </w:r>
      <w:r>
        <w:rPr>
          <w:rFonts w:ascii="仿宋_GB2312" w:hAnsi="仿宋_GB2312" w:eastAsia="仿宋_GB2312" w:cs="仿宋_GB2312"/>
          <w:color w:val="000000"/>
          <w:sz w:val="32"/>
          <w:szCs w:val="32"/>
        </w:rPr>
        <w:t>的，原则上不予安排或调减预算</w:t>
      </w:r>
      <w:r>
        <w:rPr>
          <w:rFonts w:hint="eastAsia" w:ascii="仿宋_GB2312" w:hAnsi="仿宋_GB2312" w:eastAsia="仿宋_GB2312" w:cs="仿宋_GB2312"/>
          <w:color w:val="000000"/>
          <w:sz w:val="32"/>
          <w:szCs w:val="32"/>
        </w:rPr>
        <w:t>。</w:t>
      </w:r>
    </w:p>
    <w:p w14:paraId="74A662C9">
      <w:pPr>
        <w:spacing w:line="530" w:lineRule="exact"/>
        <w:ind w:firstLine="641"/>
        <w:rPr>
          <w:rFonts w:ascii="仿宋_GB2312" w:hAnsi="仿宋_GB2312" w:eastAsia="仿宋_GB2312" w:cs="仿宋_GB2312"/>
          <w:color w:val="FF0000"/>
          <w:sz w:val="32"/>
          <w:szCs w:val="32"/>
        </w:rPr>
      </w:pPr>
      <w:r>
        <w:rPr>
          <w:rFonts w:hint="eastAsia" w:ascii="仿宋_GB2312" w:hAnsi="仿宋_GB2312" w:eastAsia="仿宋_GB2312" w:cs="仿宋_GB2312"/>
          <w:b/>
          <w:bCs/>
          <w:color w:val="000000"/>
          <w:sz w:val="32"/>
          <w:szCs w:val="32"/>
        </w:rPr>
        <w:t>（二）公开情况。</w:t>
      </w:r>
      <w:r>
        <w:rPr>
          <w:rFonts w:hint="eastAsia" w:ascii="仿宋_GB2312" w:hAnsi="仿宋_GB2312" w:eastAsia="仿宋_GB2312" w:cs="仿宋_GB2312"/>
          <w:color w:val="000000"/>
          <w:sz w:val="32"/>
          <w:szCs w:val="32"/>
          <w:lang w:eastAsia="zh-CN"/>
        </w:rPr>
        <w:t>依申请公开</w:t>
      </w:r>
      <w:bookmarkStart w:id="0" w:name="_GoBack"/>
      <w:bookmarkEnd w:id="0"/>
      <w:r>
        <w:rPr>
          <w:rFonts w:hint="eastAsia" w:ascii="仿宋_GB2312" w:hAnsi="仿宋_GB2312" w:eastAsia="仿宋_GB2312" w:cs="仿宋_GB2312"/>
          <w:color w:val="000000"/>
          <w:sz w:val="32"/>
          <w:szCs w:val="32"/>
        </w:rPr>
        <w:t>。</w:t>
      </w:r>
    </w:p>
    <w:p w14:paraId="591FC0CD">
      <w:pPr>
        <w:spacing w:line="620" w:lineRule="exact"/>
        <w:ind w:firstLine="588" w:firstLineChars="200"/>
        <w:rPr>
          <w:rFonts w:hint="eastAsia" w:ascii="仿宋_GB2312" w:eastAsia="仿宋_GB2312"/>
          <w:sz w:val="32"/>
          <w:szCs w:val="32"/>
        </w:rPr>
      </w:pPr>
    </w:p>
    <w:sectPr>
      <w:footerReference r:id="rId3" w:type="default"/>
      <w:footerReference r:id="rId4" w:type="even"/>
      <w:pgSz w:w="11906" w:h="16838"/>
      <w:pgMar w:top="1440" w:right="1797" w:bottom="1440" w:left="1797" w:header="851" w:footer="992" w:gutter="0"/>
      <w:cols w:space="720" w:num="1"/>
      <w:docGrid w:type="linesAndChars" w:linePitch="606" w:charSpace="-5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C0B00">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39723A9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44C4F">
    <w:pPr>
      <w:pStyle w:val="5"/>
      <w:framePr w:wrap="around" w:vAnchor="text" w:hAnchor="margin" w:xAlign="center" w:y="1"/>
      <w:rPr>
        <w:rStyle w:val="10"/>
      </w:rPr>
    </w:pPr>
    <w:r>
      <w:fldChar w:fldCharType="begin"/>
    </w:r>
    <w:r>
      <w:rPr>
        <w:rStyle w:val="10"/>
      </w:rPr>
      <w:instrText xml:space="preserve">PAGE  </w:instrText>
    </w:r>
    <w:r>
      <w:fldChar w:fldCharType="end"/>
    </w:r>
  </w:p>
  <w:p w14:paraId="0D73D2D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0BE44D"/>
    <w:multiLevelType w:val="singleLevel"/>
    <w:tmpl w:val="5F0BE44D"/>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127"/>
    <w:rsid w:val="00000D32"/>
    <w:rsid w:val="0002124D"/>
    <w:rsid w:val="00026735"/>
    <w:rsid w:val="0004071E"/>
    <w:rsid w:val="000971DC"/>
    <w:rsid w:val="000E1EC1"/>
    <w:rsid w:val="000E397D"/>
    <w:rsid w:val="00121FA6"/>
    <w:rsid w:val="00140FEB"/>
    <w:rsid w:val="001747F3"/>
    <w:rsid w:val="001803A5"/>
    <w:rsid w:val="001F06E4"/>
    <w:rsid w:val="00212476"/>
    <w:rsid w:val="00251A61"/>
    <w:rsid w:val="002D2D7B"/>
    <w:rsid w:val="00346C02"/>
    <w:rsid w:val="00352F82"/>
    <w:rsid w:val="0035525C"/>
    <w:rsid w:val="00386CA0"/>
    <w:rsid w:val="00390565"/>
    <w:rsid w:val="003E084B"/>
    <w:rsid w:val="0042624B"/>
    <w:rsid w:val="004621F2"/>
    <w:rsid w:val="00495EBE"/>
    <w:rsid w:val="004D4344"/>
    <w:rsid w:val="004F4F1F"/>
    <w:rsid w:val="00505EBA"/>
    <w:rsid w:val="005062F7"/>
    <w:rsid w:val="00515570"/>
    <w:rsid w:val="00540224"/>
    <w:rsid w:val="00551BF8"/>
    <w:rsid w:val="005611E5"/>
    <w:rsid w:val="005832A8"/>
    <w:rsid w:val="005A3142"/>
    <w:rsid w:val="005B273E"/>
    <w:rsid w:val="005B66B8"/>
    <w:rsid w:val="005C0E98"/>
    <w:rsid w:val="00622805"/>
    <w:rsid w:val="006339F0"/>
    <w:rsid w:val="006C6AC1"/>
    <w:rsid w:val="007100D9"/>
    <w:rsid w:val="00715CD3"/>
    <w:rsid w:val="007200A4"/>
    <w:rsid w:val="00797582"/>
    <w:rsid w:val="007F5C67"/>
    <w:rsid w:val="007F5C6A"/>
    <w:rsid w:val="0080705F"/>
    <w:rsid w:val="00820127"/>
    <w:rsid w:val="00863510"/>
    <w:rsid w:val="00892771"/>
    <w:rsid w:val="008E32B2"/>
    <w:rsid w:val="00904249"/>
    <w:rsid w:val="00934E67"/>
    <w:rsid w:val="00950D37"/>
    <w:rsid w:val="00970B41"/>
    <w:rsid w:val="009F4101"/>
    <w:rsid w:val="00A05138"/>
    <w:rsid w:val="00A25FCC"/>
    <w:rsid w:val="00A44E2A"/>
    <w:rsid w:val="00A82889"/>
    <w:rsid w:val="00AF60DE"/>
    <w:rsid w:val="00B21435"/>
    <w:rsid w:val="00B87657"/>
    <w:rsid w:val="00BD5399"/>
    <w:rsid w:val="00C04AE8"/>
    <w:rsid w:val="00C07427"/>
    <w:rsid w:val="00C51095"/>
    <w:rsid w:val="00CA69EC"/>
    <w:rsid w:val="00CB5711"/>
    <w:rsid w:val="00CD12B8"/>
    <w:rsid w:val="00D4717A"/>
    <w:rsid w:val="00D90808"/>
    <w:rsid w:val="00E86191"/>
    <w:rsid w:val="00EA692F"/>
    <w:rsid w:val="00EB61A4"/>
    <w:rsid w:val="00ED28E5"/>
    <w:rsid w:val="00F277A6"/>
    <w:rsid w:val="00F52782"/>
    <w:rsid w:val="00F91E66"/>
    <w:rsid w:val="00FF34EA"/>
    <w:rsid w:val="06C278B5"/>
    <w:rsid w:val="08F070BD"/>
    <w:rsid w:val="0AD020B9"/>
    <w:rsid w:val="0EEE66EC"/>
    <w:rsid w:val="138A698D"/>
    <w:rsid w:val="18F61C36"/>
    <w:rsid w:val="26750246"/>
    <w:rsid w:val="289F4623"/>
    <w:rsid w:val="2B24476F"/>
    <w:rsid w:val="2CD6454B"/>
    <w:rsid w:val="2FD84523"/>
    <w:rsid w:val="302C3CDC"/>
    <w:rsid w:val="3875493D"/>
    <w:rsid w:val="38C83A9C"/>
    <w:rsid w:val="3B9E5961"/>
    <w:rsid w:val="3CB57B76"/>
    <w:rsid w:val="3D8F6A91"/>
    <w:rsid w:val="41F36599"/>
    <w:rsid w:val="42493536"/>
    <w:rsid w:val="45A544B9"/>
    <w:rsid w:val="4E1B2BB1"/>
    <w:rsid w:val="4EDD4CE2"/>
    <w:rsid w:val="55A25360"/>
    <w:rsid w:val="55BD0460"/>
    <w:rsid w:val="57B31F21"/>
    <w:rsid w:val="57E72224"/>
    <w:rsid w:val="61EE3E59"/>
    <w:rsid w:val="62AB365F"/>
    <w:rsid w:val="688A627B"/>
    <w:rsid w:val="69E207CD"/>
    <w:rsid w:val="7AED5B2A"/>
    <w:rsid w:val="7C716C3D"/>
    <w:rsid w:val="7D285B2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rFonts w:ascii="等线" w:hAnsi="等线" w:eastAsia="等线" w:cs="Times New Roman"/>
      <w:b/>
      <w:bCs/>
      <w:kern w:val="44"/>
      <w:sz w:val="44"/>
      <w:szCs w:val="44"/>
    </w:rPr>
  </w:style>
  <w:style w:type="character" w:default="1" w:styleId="9">
    <w:name w:val="Default Paragraph Font"/>
    <w:semiHidden/>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next w:val="4"/>
    <w:link w:val="12"/>
    <w:qFormat/>
    <w:uiPriority w:val="0"/>
    <w:pPr>
      <w:autoSpaceDE w:val="0"/>
      <w:autoSpaceDN w:val="0"/>
      <w:spacing w:before="60" w:line="460" w:lineRule="exact"/>
      <w:textAlignment w:val="center"/>
    </w:pPr>
    <w:rPr>
      <w:szCs w:val="21"/>
    </w:rPr>
  </w:style>
  <w:style w:type="paragraph" w:styleId="4">
    <w:name w:val="toc 5"/>
    <w:basedOn w:val="1"/>
    <w:next w:val="1"/>
    <w:uiPriority w:val="0"/>
    <w:pPr>
      <w:ind w:left="1680" w:leftChars="800"/>
    </w:pPr>
    <w:rPr>
      <w:rFonts w:ascii="Calibri" w:hAnsi="Calibri"/>
    </w:rPr>
  </w:style>
  <w:style w:type="paragraph" w:styleId="5">
    <w:name w:val="footer"/>
    <w:basedOn w:val="1"/>
    <w:semiHidden/>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39"/>
    <w:pPr>
      <w:ind w:left="420" w:leftChars="200"/>
    </w:pPr>
  </w:style>
  <w:style w:type="character" w:styleId="10">
    <w:name w:val="page number"/>
    <w:basedOn w:val="9"/>
    <w:semiHidden/>
    <w:qFormat/>
    <w:uiPriority w:val="0"/>
  </w:style>
  <w:style w:type="character" w:customStyle="1" w:styleId="11">
    <w:name w:val="页眉 Char"/>
    <w:link w:val="6"/>
    <w:semiHidden/>
    <w:qFormat/>
    <w:uiPriority w:val="99"/>
    <w:rPr>
      <w:kern w:val="2"/>
      <w:sz w:val="18"/>
      <w:szCs w:val="18"/>
    </w:rPr>
  </w:style>
  <w:style w:type="character" w:customStyle="1" w:styleId="12">
    <w:name w:val="正文文本 字符"/>
    <w:link w:val="3"/>
    <w:qFormat/>
    <w:uiPriority w:val="0"/>
    <w:rPr>
      <w:kern w:val="2"/>
      <w:sz w:val="21"/>
      <w:szCs w:val="21"/>
    </w:rPr>
  </w:style>
  <w:style w:type="character" w:customStyle="1" w:styleId="13">
    <w:name w:val="NormalCharacter"/>
    <w:qFormat/>
    <w:uiPriority w:val="0"/>
    <w:rPr>
      <w:rFonts w:ascii="Times New Roman" w:hAnsi="Times New Roman" w:eastAsia="宋体" w:cs="Times New Roman"/>
      <w:kern w:val="2"/>
      <w:sz w:val="21"/>
      <w:szCs w:val="24"/>
      <w:lang w:val="en-US" w:eastAsia="zh-CN" w:bidi="ar-SA"/>
    </w:rPr>
  </w:style>
  <w:style w:type="character" w:customStyle="1" w:styleId="14">
    <w:name w:val="标题 1 字符"/>
    <w:link w:val="2"/>
    <w:qFormat/>
    <w:uiPriority w:val="9"/>
    <w:rPr>
      <w:rFonts w:ascii="等线" w:hAnsi="等线" w:eastAsia="等线"/>
      <w:b/>
      <w:bCs/>
      <w:kern w:val="44"/>
      <w:sz w:val="44"/>
      <w:szCs w:val="44"/>
    </w:rPr>
  </w:style>
  <w:style w:type="paragraph" w:customStyle="1" w:styleId="15">
    <w:name w:val="黑体"/>
    <w:basedOn w:val="1"/>
    <w:qFormat/>
    <w:uiPriority w:val="0"/>
    <w:pPr>
      <w:adjustRightInd w:val="0"/>
      <w:snapToGrid w:val="0"/>
      <w:ind w:firstLine="643"/>
    </w:pPr>
    <w:rPr>
      <w:rFonts w:ascii="仿宋_GB2312" w:hAnsi="仿宋_GB2312" w:eastAsia="黑体" w:cs="宋体"/>
      <w:bCs/>
      <w:sz w:val="32"/>
      <w:szCs w:val="20"/>
    </w:rPr>
  </w:style>
  <w:style w:type="paragraph" w:customStyle="1" w:styleId="16">
    <w:name w:val="标题一"/>
    <w:basedOn w:val="1"/>
    <w:qFormat/>
    <w:uiPriority w:val="0"/>
    <w:pPr>
      <w:adjustRightInd w:val="0"/>
      <w:snapToGrid w:val="0"/>
      <w:ind w:firstLine="200" w:firstLineChars="200"/>
    </w:pPr>
    <w:rPr>
      <w:rFonts w:ascii="仿宋_GB2312" w:hAnsi="仿宋_GB2312" w:eastAsia="仿宋_GB2312" w:cs="宋体"/>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1413</Words>
  <Characters>1489</Characters>
  <Lines>22</Lines>
  <Paragraphs>6</Paragraphs>
  <TotalTime>93</TotalTime>
  <ScaleCrop>false</ScaleCrop>
  <LinksUpToDate>false</LinksUpToDate>
  <CharactersWithSpaces>1490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2019-05-17T00:41:00Z</dcterms:created>
  <dc:creator>yuanming</dc:creator>
  <cp:lastModifiedBy>WPS_1691196825</cp:lastModifiedBy>
  <cp:lastPrinted>2007-03-06T03:51:00Z</cp:lastPrinted>
  <dcterms:modified xsi:type="dcterms:W3CDTF">2026-08-05T03:07:37Z</dcterms:modified>
  <dc:title>附件：  综合评价分析报告</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eyJoZGlkIjoiZWZlZDczZjYzOWRiODZiZWM3NWE0YTYyYThiNTE5ZjUiLCJ1c2VySWQiOiIxNTE4NzM1MzQyIn0=</vt:lpwstr>
  </property>
  <property fmtid="{D5CDD505-2E9C-101B-9397-08002B2CF9AE}" pid="4" name="ICV">
    <vt:lpwstr>5256D28244EA437B967B5FCC43BFF15E_13</vt:lpwstr>
  </property>
</Properties>
</file>