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color w:val="auto"/>
          <w:sz w:val="44"/>
          <w:szCs w:val="44"/>
          <w:highlight w:val="none"/>
          <w:lang w:eastAsia="zh-CN"/>
        </w:rPr>
      </w:pPr>
    </w:p>
    <w:p>
      <w:pPr>
        <w:keepNext w:val="0"/>
        <w:keepLines w:val="0"/>
        <w:pageBreakBefore w:val="0"/>
        <w:kinsoku/>
        <w:wordWrap/>
        <w:overflowPunct/>
        <w:topLinePunct w:val="0"/>
        <w:autoSpaceDE/>
        <w:autoSpaceDN/>
        <w:bidi w:val="0"/>
        <w:adjustRightInd/>
        <w:spacing w:line="560" w:lineRule="exact"/>
        <w:textAlignment w:val="auto"/>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3</w:t>
      </w:r>
    </w:p>
    <w:p>
      <w:pPr>
        <w:keepNext w:val="0"/>
        <w:keepLines w:val="0"/>
        <w:pageBreakBefore w:val="0"/>
        <w:kinsoku/>
        <w:wordWrap/>
        <w:overflowPunct/>
        <w:topLinePunct w:val="0"/>
        <w:autoSpaceDE/>
        <w:autoSpaceDN/>
        <w:bidi w:val="0"/>
        <w:adjustRightInd/>
        <w:spacing w:line="560" w:lineRule="exact"/>
        <w:ind w:firstLine="480" w:firstLineChars="15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 xml:space="preserve">     </w:t>
      </w:r>
    </w:p>
    <w:p>
      <w:pPr>
        <w:keepNext w:val="0"/>
        <w:keepLines w:val="0"/>
        <w:pageBreakBefore w:val="0"/>
        <w:kinsoku/>
        <w:wordWrap/>
        <w:overflowPunct/>
        <w:topLinePunct w:val="0"/>
        <w:autoSpaceDE/>
        <w:autoSpaceDN/>
        <w:bidi w:val="0"/>
        <w:adjustRightInd/>
        <w:spacing w:line="560" w:lineRule="exact"/>
        <w:jc w:val="center"/>
        <w:textAlignment w:val="auto"/>
        <w:rPr>
          <w:rFonts w:hint="eastAsia" w:ascii="方正小标宋简体" w:eastAsia="方正小标宋简体"/>
          <w:color w:val="auto"/>
          <w:sz w:val="44"/>
          <w:szCs w:val="44"/>
          <w:highlight w:val="none"/>
        </w:rPr>
      </w:pPr>
      <w:r>
        <w:rPr>
          <w:rFonts w:hint="eastAsia" w:ascii="方正小标宋简体" w:eastAsia="方正小标宋简体"/>
          <w:color w:val="auto"/>
          <w:sz w:val="44"/>
          <w:szCs w:val="44"/>
          <w:highlight w:val="none"/>
        </w:rPr>
        <w:t>整体绩效自评报告</w:t>
      </w:r>
    </w:p>
    <w:p>
      <w:pPr>
        <w:keepNext w:val="0"/>
        <w:keepLines w:val="0"/>
        <w:pageBreakBefore w:val="0"/>
        <w:kinsoku/>
        <w:wordWrap/>
        <w:overflowPunct/>
        <w:topLinePunct w:val="0"/>
        <w:autoSpaceDE/>
        <w:autoSpaceDN/>
        <w:bidi w:val="0"/>
        <w:adjustRightInd/>
        <w:snapToGrid/>
        <w:spacing w:line="560" w:lineRule="exact"/>
        <w:textAlignment w:val="auto"/>
        <w:rPr>
          <w:color w:val="auto"/>
          <w:highlight w:val="none"/>
        </w:rPr>
      </w:pPr>
    </w:p>
    <w:p>
      <w:pPr>
        <w:keepNext w:val="0"/>
        <w:keepLines w:val="0"/>
        <w:pageBreakBefore w:val="0"/>
        <w:kinsoku/>
        <w:wordWrap/>
        <w:overflowPunct/>
        <w:topLinePunct w:val="0"/>
        <w:autoSpaceDE/>
        <w:autoSpaceDN/>
        <w:bidi w:val="0"/>
        <w:adjustRightInd/>
        <w:snapToGrid/>
        <w:spacing w:line="560" w:lineRule="exact"/>
        <w:textAlignment w:val="auto"/>
        <w:rPr>
          <w:color w:val="auto"/>
          <w:highlight w:val="none"/>
        </w:rPr>
      </w:pPr>
    </w:p>
    <w:p>
      <w:pPr>
        <w:keepNext w:val="0"/>
        <w:keepLines w:val="0"/>
        <w:pageBreakBefore w:val="0"/>
        <w:kinsoku/>
        <w:wordWrap/>
        <w:overflowPunct/>
        <w:topLinePunct w:val="0"/>
        <w:autoSpaceDE/>
        <w:autoSpaceDN/>
        <w:bidi w:val="0"/>
        <w:adjustRightInd/>
        <w:snapToGrid/>
        <w:spacing w:line="560" w:lineRule="exact"/>
        <w:textAlignment w:val="auto"/>
        <w:rPr>
          <w:color w:val="auto"/>
          <w:highlight w:val="none"/>
        </w:rPr>
      </w:pPr>
    </w:p>
    <w:p>
      <w:pPr>
        <w:keepNext w:val="0"/>
        <w:keepLines w:val="0"/>
        <w:pageBreakBefore w:val="0"/>
        <w:kinsoku/>
        <w:wordWrap/>
        <w:overflowPunct/>
        <w:topLinePunct w:val="0"/>
        <w:autoSpaceDE/>
        <w:autoSpaceDN/>
        <w:bidi w:val="0"/>
        <w:adjustRightInd/>
        <w:snapToGrid/>
        <w:spacing w:line="560" w:lineRule="exact"/>
        <w:textAlignment w:val="auto"/>
        <w:rPr>
          <w:color w:val="auto"/>
          <w:highlight w:val="none"/>
        </w:rPr>
      </w:pPr>
    </w:p>
    <w:p>
      <w:pPr>
        <w:keepNext w:val="0"/>
        <w:keepLines w:val="0"/>
        <w:pageBreakBefore w:val="0"/>
        <w:kinsoku/>
        <w:wordWrap/>
        <w:overflowPunct/>
        <w:topLinePunct w:val="0"/>
        <w:autoSpaceDE/>
        <w:autoSpaceDN/>
        <w:bidi w:val="0"/>
        <w:adjustRightInd/>
        <w:snapToGrid/>
        <w:spacing w:line="560" w:lineRule="exact"/>
        <w:textAlignment w:val="auto"/>
        <w:rPr>
          <w:color w:val="auto"/>
          <w:highlight w:val="none"/>
        </w:rPr>
      </w:pPr>
    </w:p>
    <w:p>
      <w:pPr>
        <w:keepNext w:val="0"/>
        <w:keepLines w:val="0"/>
        <w:pageBreakBefore w:val="0"/>
        <w:kinsoku/>
        <w:wordWrap/>
        <w:overflowPunct/>
        <w:topLinePunct w:val="0"/>
        <w:autoSpaceDE/>
        <w:autoSpaceDN/>
        <w:bidi w:val="0"/>
        <w:adjustRightInd/>
        <w:snapToGrid/>
        <w:spacing w:line="560" w:lineRule="exact"/>
        <w:textAlignment w:val="auto"/>
        <w:rPr>
          <w:color w:val="auto"/>
          <w:highlight w:val="none"/>
        </w:rPr>
      </w:pPr>
    </w:p>
    <w:p>
      <w:pPr>
        <w:keepNext w:val="0"/>
        <w:keepLines w:val="0"/>
        <w:pageBreakBefore w:val="0"/>
        <w:kinsoku/>
        <w:wordWrap/>
        <w:overflowPunct/>
        <w:topLinePunct w:val="0"/>
        <w:autoSpaceDE/>
        <w:autoSpaceDN/>
        <w:bidi w:val="0"/>
        <w:adjustRightInd/>
        <w:snapToGrid/>
        <w:spacing w:line="560" w:lineRule="exact"/>
        <w:textAlignment w:val="auto"/>
        <w:rPr>
          <w:color w:val="auto"/>
          <w:highlight w:val="none"/>
        </w:rPr>
      </w:pPr>
    </w:p>
    <w:p>
      <w:pPr>
        <w:keepNext w:val="0"/>
        <w:keepLines w:val="0"/>
        <w:pageBreakBefore w:val="0"/>
        <w:kinsoku/>
        <w:wordWrap/>
        <w:overflowPunct/>
        <w:topLinePunct w:val="0"/>
        <w:autoSpaceDE/>
        <w:autoSpaceDN/>
        <w:bidi w:val="0"/>
        <w:adjustRightInd/>
        <w:snapToGrid/>
        <w:spacing w:line="560" w:lineRule="exact"/>
        <w:textAlignment w:val="auto"/>
        <w:rPr>
          <w:color w:val="auto"/>
          <w:highlight w:val="none"/>
        </w:rPr>
      </w:pPr>
    </w:p>
    <w:p>
      <w:pPr>
        <w:keepNext w:val="0"/>
        <w:keepLines w:val="0"/>
        <w:pageBreakBefore w:val="0"/>
        <w:kinsoku/>
        <w:wordWrap/>
        <w:overflowPunct/>
        <w:topLinePunct w:val="0"/>
        <w:autoSpaceDE/>
        <w:autoSpaceDN/>
        <w:bidi w:val="0"/>
        <w:adjustRightInd/>
        <w:snapToGrid/>
        <w:spacing w:line="560" w:lineRule="exact"/>
        <w:textAlignment w:val="auto"/>
        <w:rPr>
          <w:color w:val="auto"/>
          <w:highlight w:val="none"/>
        </w:rPr>
      </w:pPr>
    </w:p>
    <w:p>
      <w:pPr>
        <w:keepNext w:val="0"/>
        <w:keepLines w:val="0"/>
        <w:pageBreakBefore w:val="0"/>
        <w:kinsoku/>
        <w:wordWrap/>
        <w:overflowPunct/>
        <w:topLinePunct w:val="0"/>
        <w:autoSpaceDE/>
        <w:autoSpaceDN/>
        <w:bidi w:val="0"/>
        <w:adjustRightInd/>
        <w:snapToGrid/>
        <w:spacing w:line="560" w:lineRule="exact"/>
        <w:textAlignment w:val="auto"/>
        <w:rPr>
          <w:color w:val="auto"/>
          <w:highlight w:val="none"/>
        </w:rPr>
      </w:pPr>
    </w:p>
    <w:p>
      <w:pPr>
        <w:keepNext w:val="0"/>
        <w:keepLines w:val="0"/>
        <w:pageBreakBefore w:val="0"/>
        <w:kinsoku/>
        <w:wordWrap/>
        <w:overflowPunct/>
        <w:topLinePunct w:val="0"/>
        <w:autoSpaceDE/>
        <w:autoSpaceDN/>
        <w:bidi w:val="0"/>
        <w:adjustRightInd/>
        <w:snapToGrid/>
        <w:spacing w:line="560" w:lineRule="exact"/>
        <w:textAlignment w:val="auto"/>
        <w:rPr>
          <w:color w:val="auto"/>
          <w:highlight w:val="none"/>
        </w:rPr>
      </w:pPr>
    </w:p>
    <w:p>
      <w:pPr>
        <w:pStyle w:val="4"/>
        <w:rPr>
          <w:color w:val="auto"/>
          <w:highlight w:val="none"/>
        </w:rPr>
      </w:pPr>
    </w:p>
    <w:p>
      <w:pPr>
        <w:pStyle w:val="4"/>
        <w:rPr>
          <w:color w:val="auto"/>
          <w:highlight w:val="none"/>
        </w:rPr>
      </w:pPr>
    </w:p>
    <w:p>
      <w:pPr>
        <w:pStyle w:val="4"/>
        <w:rPr>
          <w:color w:val="auto"/>
          <w:highlight w:val="none"/>
        </w:rPr>
      </w:pPr>
    </w:p>
    <w:p>
      <w:pPr>
        <w:keepNext w:val="0"/>
        <w:keepLines w:val="0"/>
        <w:pageBreakBefore w:val="0"/>
        <w:kinsoku/>
        <w:wordWrap/>
        <w:overflowPunct/>
        <w:topLinePunct w:val="0"/>
        <w:autoSpaceDE/>
        <w:autoSpaceDN/>
        <w:bidi w:val="0"/>
        <w:adjustRightInd/>
        <w:spacing w:line="560" w:lineRule="exact"/>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评价年度：202</w:t>
      </w:r>
      <w:r>
        <w:rPr>
          <w:rFonts w:hint="eastAsia" w:ascii="仿宋_GB2312" w:eastAsia="仿宋_GB2312"/>
          <w:color w:val="auto"/>
          <w:sz w:val="32"/>
          <w:szCs w:val="32"/>
          <w:highlight w:val="none"/>
          <w:lang w:val="en-US" w:eastAsia="zh-CN"/>
        </w:rPr>
        <w:t>5</w:t>
      </w:r>
      <w:r>
        <w:rPr>
          <w:rFonts w:hint="eastAsia" w:ascii="仿宋_GB2312" w:eastAsia="仿宋_GB2312"/>
          <w:color w:val="auto"/>
          <w:sz w:val="32"/>
          <w:szCs w:val="32"/>
          <w:highlight w:val="none"/>
        </w:rPr>
        <w:t>年度</w:t>
      </w:r>
    </w:p>
    <w:p>
      <w:pPr>
        <w:keepNext w:val="0"/>
        <w:keepLines w:val="0"/>
        <w:pageBreakBefore w:val="0"/>
        <w:kinsoku/>
        <w:wordWrap/>
        <w:overflowPunct/>
        <w:topLinePunct w:val="0"/>
        <w:autoSpaceDE/>
        <w:autoSpaceDN/>
        <w:bidi w:val="0"/>
        <w:adjustRightInd/>
        <w:spacing w:line="560" w:lineRule="exact"/>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评价单位</w:t>
      </w:r>
      <w:r>
        <w:rPr>
          <w:rFonts w:hint="eastAsia" w:ascii="仿宋_GB2312" w:eastAsia="仿宋_GB2312"/>
          <w:color w:val="auto"/>
          <w:sz w:val="32"/>
          <w:szCs w:val="32"/>
          <w:highlight w:val="none"/>
          <w:lang w:eastAsia="zh-CN"/>
        </w:rPr>
        <w:t>：廉江市自然资源局</w:t>
      </w:r>
    </w:p>
    <w:p>
      <w:pPr>
        <w:keepNext w:val="0"/>
        <w:keepLines w:val="0"/>
        <w:pageBreakBefore w:val="0"/>
        <w:kinsoku/>
        <w:wordWrap/>
        <w:overflowPunct/>
        <w:topLinePunct w:val="0"/>
        <w:autoSpaceDE/>
        <w:autoSpaceDN/>
        <w:bidi w:val="0"/>
        <w:adjustRightInd/>
        <w:spacing w:line="560" w:lineRule="exact"/>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rPr>
        <w:t>填报日期：</w:t>
      </w:r>
      <w:r>
        <w:rPr>
          <w:rFonts w:hint="eastAsia" w:ascii="仿宋_GB2312" w:eastAsia="仿宋_GB2312"/>
          <w:color w:val="auto"/>
          <w:sz w:val="32"/>
          <w:szCs w:val="32"/>
          <w:highlight w:val="none"/>
          <w:lang w:val="en-US" w:eastAsia="zh-CN"/>
        </w:rPr>
        <w:t>2026年7月10日</w:t>
      </w:r>
    </w:p>
    <w:p>
      <w:pPr>
        <w:pStyle w:val="4"/>
        <w:ind w:left="0" w:leftChars="0" w:firstLine="0" w:firstLineChars="0"/>
        <w:rPr>
          <w:rFonts w:hint="default" w:ascii="黑体" w:hAnsi="黑体" w:eastAsia="黑体" w:cs="黑体"/>
          <w:color w:val="auto"/>
          <w:kern w:val="0"/>
          <w:sz w:val="32"/>
          <w:szCs w:val="32"/>
          <w:highlight w:val="none"/>
          <w:u w:val="none"/>
          <w:shd w:val="clear"/>
          <w:lang w:val="en-US" w:eastAsia="zh-CN" w:bidi="ar"/>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pPr>
        <w:pStyle w:val="16"/>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560" w:lineRule="exact"/>
        <w:ind w:right="0" w:rightChars="0"/>
        <w:jc w:val="both"/>
        <w:textAlignment w:val="auto"/>
        <w:rPr>
          <w:rFonts w:hint="eastAsia" w:ascii="仿宋_GB2312" w:eastAsia="仿宋_GB2312" w:cs="宋体" w:hAnsiTheme="minorHAnsi"/>
          <w:color w:val="auto"/>
          <w:kern w:val="0"/>
          <w:sz w:val="32"/>
          <w:szCs w:val="32"/>
          <w:highlight w:val="none"/>
          <w:u w:val="none"/>
          <w:shd w:val="clear"/>
          <w:lang w:val="en-US" w:eastAsia="zh-CN" w:bidi="ar"/>
        </w:rPr>
      </w:pP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华文仿宋" w:eastAsia="仿宋_GB2312" w:cs="仿宋_GB2312"/>
          <w:color w:val="auto"/>
          <w:sz w:val="32"/>
          <w:szCs w:val="32"/>
          <w:highlight w:val="none"/>
        </w:rPr>
      </w:pPr>
      <w:r>
        <w:rPr>
          <w:rFonts w:hint="eastAsia" w:ascii="仿宋_GB2312" w:hAnsi="华文仿宋" w:eastAsia="仿宋_GB2312" w:cs="仿宋_GB2312"/>
          <w:color w:val="auto"/>
          <w:sz w:val="32"/>
          <w:szCs w:val="32"/>
          <w:highlight w:val="none"/>
        </w:rPr>
        <w:t>根据</w:t>
      </w:r>
      <w:r>
        <w:rPr>
          <w:rFonts w:hint="eastAsia" w:ascii="仿宋_GB2312" w:hAnsi="仿宋_GB2312" w:eastAsia="仿宋_GB2312" w:cs="仿宋_GB2312"/>
          <w:color w:val="auto"/>
          <w:sz w:val="32"/>
          <w:szCs w:val="32"/>
          <w:highlight w:val="none"/>
          <w:lang w:val="en-US" w:eastAsia="zh-CN"/>
        </w:rPr>
        <w:t>廉江市财政局《关于开展2026市级部门单位整体支出自我绩效评价工作的通知》（廉财绩〔2026〕4 号）的</w:t>
      </w:r>
      <w:r>
        <w:rPr>
          <w:rFonts w:hint="eastAsia" w:ascii="仿宋_GB2312" w:hAnsi="华文仿宋" w:eastAsia="仿宋_GB2312" w:cs="仿宋_GB2312"/>
          <w:color w:val="auto"/>
          <w:sz w:val="32"/>
          <w:szCs w:val="32"/>
          <w:highlight w:val="none"/>
        </w:rPr>
        <w:t>要求，我单位及时布置自评，成立自评工作小组，明确分工，落实责任，认真开展自评自查工作，经查阅、核实有关账务及项目等执行情况，填写自评表格并综合分析，形成本评价报告。现将20</w:t>
      </w:r>
      <w:r>
        <w:rPr>
          <w:rFonts w:hint="eastAsia" w:ascii="仿宋_GB2312" w:hAnsi="华文仿宋" w:eastAsia="仿宋_GB2312" w:cs="仿宋_GB2312"/>
          <w:color w:val="auto"/>
          <w:sz w:val="32"/>
          <w:szCs w:val="32"/>
          <w:highlight w:val="none"/>
          <w:lang w:val="en-US" w:eastAsia="zh-CN"/>
        </w:rPr>
        <w:t>25</w:t>
      </w:r>
      <w:r>
        <w:rPr>
          <w:rFonts w:hint="eastAsia" w:ascii="仿宋_GB2312" w:hAnsi="华文仿宋" w:eastAsia="仿宋_GB2312" w:cs="仿宋_GB2312"/>
          <w:color w:val="auto"/>
          <w:sz w:val="32"/>
          <w:szCs w:val="32"/>
          <w:highlight w:val="none"/>
        </w:rPr>
        <w:t>年度</w:t>
      </w:r>
      <w:r>
        <w:rPr>
          <w:rFonts w:hint="eastAsia" w:ascii="仿宋_GB2312" w:hAnsi="华文仿宋" w:eastAsia="仿宋_GB2312" w:cs="仿宋_GB2312"/>
          <w:color w:val="auto"/>
          <w:sz w:val="32"/>
          <w:szCs w:val="32"/>
          <w:highlight w:val="none"/>
          <w:lang w:eastAsia="zh-CN"/>
        </w:rPr>
        <w:t>廉江</w:t>
      </w:r>
      <w:r>
        <w:rPr>
          <w:rFonts w:hint="eastAsia" w:ascii="仿宋_GB2312" w:hAnsi="仿宋" w:eastAsia="仿宋_GB2312" w:cs="仿宋"/>
          <w:bCs/>
          <w:color w:val="auto"/>
          <w:sz w:val="32"/>
          <w:szCs w:val="32"/>
          <w:highlight w:val="none"/>
          <w:lang w:eastAsia="zh-CN"/>
        </w:rPr>
        <w:t>市自然资源局</w:t>
      </w:r>
      <w:r>
        <w:rPr>
          <w:rFonts w:hint="eastAsia" w:ascii="仿宋_GB2312" w:hAnsi="华文仿宋" w:eastAsia="仿宋_GB2312" w:cs="仿宋_GB2312"/>
          <w:color w:val="auto"/>
          <w:sz w:val="32"/>
          <w:szCs w:val="32"/>
          <w:highlight w:val="none"/>
        </w:rPr>
        <w:t>整体</w:t>
      </w:r>
      <w:r>
        <w:rPr>
          <w:rFonts w:hint="eastAsia" w:ascii="仿宋_GB2312" w:hAnsi="华文仿宋" w:eastAsia="仿宋_GB2312" w:cs="仿宋_GB2312"/>
          <w:color w:val="auto"/>
          <w:sz w:val="32"/>
          <w:szCs w:val="32"/>
          <w:highlight w:val="none"/>
          <w:lang w:val="en-US" w:eastAsia="zh-CN"/>
        </w:rPr>
        <w:t>支出</w:t>
      </w:r>
      <w:r>
        <w:rPr>
          <w:rFonts w:hint="eastAsia" w:ascii="仿宋_GB2312" w:hAnsi="华文仿宋" w:eastAsia="仿宋_GB2312" w:cs="仿宋_GB2312"/>
          <w:color w:val="auto"/>
          <w:sz w:val="32"/>
          <w:szCs w:val="32"/>
          <w:highlight w:val="none"/>
        </w:rPr>
        <w:t>绩效自评</w:t>
      </w:r>
      <w:r>
        <w:rPr>
          <w:rFonts w:hint="eastAsia" w:ascii="仿宋_GB2312" w:hAnsi="华文仿宋" w:eastAsia="仿宋_GB2312" w:cs="仿宋_GB2312"/>
          <w:color w:val="auto"/>
          <w:sz w:val="32"/>
          <w:szCs w:val="32"/>
          <w:highlight w:val="none"/>
          <w:lang w:val="en-US" w:eastAsia="zh-CN"/>
        </w:rPr>
        <w:t>情况</w:t>
      </w:r>
      <w:r>
        <w:rPr>
          <w:rFonts w:hint="eastAsia" w:ascii="仿宋_GB2312" w:hAnsi="华文仿宋" w:eastAsia="仿宋_GB2312" w:cs="仿宋_GB2312"/>
          <w:color w:val="auto"/>
          <w:sz w:val="32"/>
          <w:szCs w:val="32"/>
          <w:highlight w:val="none"/>
        </w:rPr>
        <w:t>报告如下：</w:t>
      </w:r>
    </w:p>
    <w:p>
      <w:pPr>
        <w:keepNext w:val="0"/>
        <w:keepLines w:val="0"/>
        <w:pageBreakBefore w:val="0"/>
        <w:numPr>
          <w:ilvl w:val="0"/>
          <w:numId w:val="1"/>
        </w:numPr>
        <w:kinsoku/>
        <w:wordWrap/>
        <w:overflowPunct/>
        <w:topLinePunct w:val="0"/>
        <w:autoSpaceDE/>
        <w:autoSpaceDN/>
        <w:bidi w:val="0"/>
        <w:adjustRightInd/>
        <w:spacing w:line="560" w:lineRule="exact"/>
        <w:ind w:firstLine="643" w:firstLineChars="201"/>
        <w:textAlignment w:val="auto"/>
        <w:rPr>
          <w:rFonts w:hint="eastAsia" w:ascii="黑体" w:hAnsi="黑体" w:eastAsia="黑体" w:cs="仿宋_GB2312"/>
          <w:bCs/>
          <w:color w:val="auto"/>
          <w:sz w:val="32"/>
          <w:szCs w:val="32"/>
          <w:highlight w:val="none"/>
        </w:rPr>
      </w:pPr>
      <w:r>
        <w:rPr>
          <w:rFonts w:hint="eastAsia" w:ascii="黑体" w:hAnsi="黑体" w:eastAsia="黑体" w:cs="仿宋_GB2312"/>
          <w:bCs/>
          <w:color w:val="auto"/>
          <w:sz w:val="32"/>
          <w:szCs w:val="32"/>
          <w:highlight w:val="none"/>
        </w:rPr>
        <w:t>单位基本情况</w:t>
      </w:r>
    </w:p>
    <w:p>
      <w:pPr>
        <w:keepNext w:val="0"/>
        <w:keepLines w:val="0"/>
        <w:pageBreakBefore w:val="0"/>
        <w:numPr>
          <w:ilvl w:val="0"/>
          <w:numId w:val="0"/>
        </w:numPr>
        <w:kinsoku/>
        <w:wordWrap/>
        <w:overflowPunct/>
        <w:topLinePunct w:val="0"/>
        <w:autoSpaceDE/>
        <w:autoSpaceDN/>
        <w:bidi w:val="0"/>
        <w:adjustRightInd/>
        <w:spacing w:line="560" w:lineRule="exact"/>
        <w:ind w:firstLine="646" w:firstLineChars="201"/>
        <w:textAlignment w:val="auto"/>
        <w:rPr>
          <w:rFonts w:hint="eastAsia" w:ascii="楷体_GB2312" w:hAnsi="华文仿宋" w:eastAsia="楷体_GB2312" w:cs="仿宋_GB2312"/>
          <w:b/>
          <w:color w:val="auto"/>
          <w:sz w:val="32"/>
          <w:szCs w:val="32"/>
          <w:highlight w:val="none"/>
        </w:rPr>
      </w:pPr>
      <w:r>
        <w:rPr>
          <w:rFonts w:hint="eastAsia" w:ascii="楷体_GB2312" w:hAnsi="华文仿宋" w:eastAsia="楷体_GB2312" w:cs="仿宋_GB2312"/>
          <w:b/>
          <w:color w:val="auto"/>
          <w:kern w:val="2"/>
          <w:sz w:val="32"/>
          <w:szCs w:val="32"/>
          <w:highlight w:val="none"/>
          <w:lang w:val="en-US" w:eastAsia="zh-CN" w:bidi="ar-SA"/>
        </w:rPr>
        <w:t>（一）</w:t>
      </w:r>
      <w:r>
        <w:rPr>
          <w:rFonts w:hint="eastAsia" w:ascii="楷体_GB2312" w:hAnsi="华文仿宋" w:eastAsia="楷体_GB2312" w:cs="仿宋_GB2312"/>
          <w:b/>
          <w:color w:val="auto"/>
          <w:sz w:val="32"/>
          <w:szCs w:val="32"/>
          <w:highlight w:val="none"/>
        </w:rPr>
        <w:t>单位机构设置、部门职能情况。</w:t>
      </w:r>
    </w:p>
    <w:p>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eastAsia" w:ascii="仿宋_GB2312" w:hAnsi="华文仿宋" w:eastAsia="仿宋_GB2312" w:cs="仿宋_GB2312"/>
          <w:bCs/>
          <w:color w:val="auto"/>
          <w:sz w:val="32"/>
          <w:szCs w:val="32"/>
          <w:highlight w:val="none"/>
        </w:rPr>
      </w:pPr>
      <w:r>
        <w:rPr>
          <w:rFonts w:hint="eastAsia" w:ascii="仿宋_GB2312" w:hAnsi="仿宋_GB2312" w:eastAsia="仿宋_GB2312" w:cs="仿宋_GB2312"/>
          <w:b w:val="0"/>
          <w:bCs/>
          <w:color w:val="auto"/>
          <w:sz w:val="32"/>
          <w:szCs w:val="32"/>
          <w:highlight w:val="none"/>
        </w:rPr>
        <w:t>（</w:t>
      </w:r>
      <w:r>
        <w:rPr>
          <w:rFonts w:hint="eastAsia" w:ascii="仿宋_GB2312" w:hAnsi="仿宋_GB2312" w:eastAsia="仿宋_GB2312" w:cs="仿宋_GB2312"/>
          <w:b w:val="0"/>
          <w:bCs/>
          <w:color w:val="auto"/>
          <w:sz w:val="32"/>
          <w:szCs w:val="32"/>
          <w:highlight w:val="none"/>
          <w:lang w:val="en-US" w:eastAsia="zh-CN"/>
        </w:rPr>
        <w:t>1</w:t>
      </w:r>
      <w:r>
        <w:rPr>
          <w:rFonts w:hint="eastAsia" w:ascii="仿宋_GB2312" w:hAnsi="仿宋_GB2312" w:eastAsia="仿宋_GB2312" w:cs="仿宋_GB2312"/>
          <w:b w:val="0"/>
          <w:bCs/>
          <w:color w:val="auto"/>
          <w:sz w:val="32"/>
          <w:szCs w:val="32"/>
          <w:highlight w:val="none"/>
        </w:rPr>
        <w:t>）部门机构设置</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Times New Roman" w:eastAsia="仿宋_GB2312" w:cs="Times New Roman"/>
          <w:color w:val="auto"/>
          <w:kern w:val="32"/>
          <w:sz w:val="32"/>
          <w:szCs w:val="32"/>
          <w:highlight w:val="none"/>
        </w:rPr>
      </w:pPr>
      <w:r>
        <w:rPr>
          <w:rFonts w:hint="eastAsia" w:ascii="仿宋_GB2312" w:hAnsi="Times New Roman" w:eastAsia="仿宋_GB2312" w:cs="Times New Roman"/>
          <w:color w:val="auto"/>
          <w:kern w:val="32"/>
          <w:sz w:val="32"/>
          <w:szCs w:val="32"/>
          <w:highlight w:val="none"/>
          <w:lang w:eastAsia="zh-CN"/>
        </w:rPr>
        <w:t>廉江市自然资源局</w:t>
      </w:r>
      <w:r>
        <w:rPr>
          <w:rFonts w:hint="eastAsia" w:ascii="仿宋_GB2312" w:hAnsi="Times New Roman" w:eastAsia="仿宋_GB2312" w:cs="Times New Roman"/>
          <w:color w:val="auto"/>
          <w:kern w:val="32"/>
          <w:sz w:val="32"/>
          <w:szCs w:val="32"/>
          <w:highlight w:val="none"/>
        </w:rPr>
        <w:t>根据《中共</w:t>
      </w:r>
      <w:r>
        <w:rPr>
          <w:rFonts w:hint="eastAsia" w:ascii="仿宋_GB2312" w:hAnsi="Times New Roman" w:eastAsia="仿宋_GB2312" w:cs="Times New Roman"/>
          <w:color w:val="auto"/>
          <w:kern w:val="32"/>
          <w:sz w:val="32"/>
          <w:szCs w:val="32"/>
          <w:highlight w:val="none"/>
          <w:lang w:eastAsia="zh-CN"/>
        </w:rPr>
        <w:t>廉江市</w:t>
      </w:r>
      <w:r>
        <w:rPr>
          <w:rFonts w:hint="eastAsia" w:ascii="仿宋_GB2312" w:hAnsi="Times New Roman" w:eastAsia="仿宋_GB2312" w:cs="Times New Roman"/>
          <w:color w:val="auto"/>
          <w:kern w:val="32"/>
          <w:sz w:val="32"/>
          <w:szCs w:val="32"/>
          <w:highlight w:val="none"/>
        </w:rPr>
        <w:t xml:space="preserve">委办公室 </w:t>
      </w:r>
      <w:r>
        <w:rPr>
          <w:rFonts w:hint="eastAsia" w:ascii="仿宋_GB2312" w:hAnsi="Times New Roman" w:eastAsia="仿宋_GB2312" w:cs="Times New Roman"/>
          <w:color w:val="auto"/>
          <w:kern w:val="32"/>
          <w:sz w:val="32"/>
          <w:szCs w:val="32"/>
          <w:highlight w:val="none"/>
          <w:lang w:eastAsia="zh-CN"/>
        </w:rPr>
        <w:t>廉江市</w:t>
      </w:r>
      <w:r>
        <w:rPr>
          <w:rFonts w:hint="eastAsia" w:ascii="仿宋_GB2312" w:hAnsi="Times New Roman" w:eastAsia="仿宋_GB2312" w:cs="Times New Roman"/>
          <w:color w:val="auto"/>
          <w:kern w:val="32"/>
          <w:sz w:val="32"/>
          <w:szCs w:val="32"/>
          <w:highlight w:val="none"/>
        </w:rPr>
        <w:t>人民政府办公室关于印发&lt;</w:t>
      </w:r>
      <w:r>
        <w:rPr>
          <w:rFonts w:hint="eastAsia" w:ascii="仿宋_GB2312" w:hAnsi="Times New Roman" w:eastAsia="仿宋_GB2312" w:cs="Times New Roman"/>
          <w:color w:val="auto"/>
          <w:kern w:val="32"/>
          <w:sz w:val="32"/>
          <w:szCs w:val="32"/>
          <w:highlight w:val="none"/>
          <w:lang w:eastAsia="zh-CN"/>
        </w:rPr>
        <w:t>廉江市自然资源局</w:t>
      </w:r>
      <w:r>
        <w:rPr>
          <w:rFonts w:hint="eastAsia" w:ascii="仿宋_GB2312" w:hAnsi="Times New Roman" w:eastAsia="仿宋_GB2312" w:cs="Times New Roman"/>
          <w:color w:val="auto"/>
          <w:kern w:val="32"/>
          <w:sz w:val="32"/>
          <w:szCs w:val="32"/>
          <w:highlight w:val="none"/>
        </w:rPr>
        <w:t>职能配置、内设机构和人员编制规定&gt;的通知》（</w:t>
      </w:r>
      <w:r>
        <w:rPr>
          <w:rFonts w:hint="eastAsia" w:ascii="仿宋_GB2312" w:hAnsi="Times New Roman" w:eastAsia="仿宋_GB2312" w:cs="Times New Roman"/>
          <w:color w:val="auto"/>
          <w:kern w:val="32"/>
          <w:sz w:val="32"/>
          <w:szCs w:val="32"/>
          <w:highlight w:val="none"/>
          <w:lang w:eastAsia="zh-CN"/>
        </w:rPr>
        <w:t>廉</w:t>
      </w:r>
      <w:r>
        <w:rPr>
          <w:rFonts w:hint="eastAsia" w:ascii="仿宋_GB2312" w:hAnsi="Times New Roman" w:eastAsia="仿宋_GB2312" w:cs="Times New Roman"/>
          <w:color w:val="auto"/>
          <w:kern w:val="32"/>
          <w:sz w:val="32"/>
          <w:szCs w:val="32"/>
          <w:highlight w:val="none"/>
        </w:rPr>
        <w:t>办发〔</w:t>
      </w:r>
      <w:r>
        <w:rPr>
          <w:rFonts w:hint="eastAsia" w:ascii="仿宋_GB2312" w:hAnsi="Times New Roman" w:eastAsia="仿宋_GB2312" w:cs="Times New Roman"/>
          <w:color w:val="auto"/>
          <w:kern w:val="32"/>
          <w:sz w:val="32"/>
          <w:szCs w:val="32"/>
          <w:highlight w:val="none"/>
          <w:lang w:eastAsia="zh-CN"/>
        </w:rPr>
        <w:t>20</w:t>
      </w:r>
      <w:r>
        <w:rPr>
          <w:rFonts w:hint="eastAsia" w:ascii="仿宋_GB2312" w:hAnsi="Times New Roman" w:eastAsia="仿宋_GB2312" w:cs="Times New Roman"/>
          <w:color w:val="auto"/>
          <w:kern w:val="32"/>
          <w:sz w:val="32"/>
          <w:szCs w:val="32"/>
          <w:highlight w:val="none"/>
          <w:lang w:val="en-US" w:eastAsia="zh-CN"/>
        </w:rPr>
        <w:t>19</w:t>
      </w:r>
      <w:r>
        <w:rPr>
          <w:rFonts w:hint="eastAsia" w:ascii="仿宋_GB2312" w:hAnsi="Times New Roman" w:eastAsia="仿宋_GB2312" w:cs="Times New Roman"/>
          <w:color w:val="auto"/>
          <w:kern w:val="32"/>
          <w:sz w:val="32"/>
          <w:szCs w:val="32"/>
          <w:highlight w:val="none"/>
        </w:rPr>
        <w:t>〕</w:t>
      </w:r>
      <w:r>
        <w:rPr>
          <w:rFonts w:hint="eastAsia" w:ascii="仿宋_GB2312" w:hAnsi="Times New Roman" w:eastAsia="仿宋_GB2312" w:cs="Times New Roman"/>
          <w:color w:val="auto"/>
          <w:kern w:val="32"/>
          <w:sz w:val="32"/>
          <w:szCs w:val="32"/>
          <w:highlight w:val="none"/>
          <w:lang w:val="en-US" w:eastAsia="zh-CN"/>
        </w:rPr>
        <w:t>23</w:t>
      </w:r>
      <w:r>
        <w:rPr>
          <w:rFonts w:hint="eastAsia" w:ascii="仿宋_GB2312" w:hAnsi="Times New Roman" w:eastAsia="仿宋_GB2312" w:cs="Times New Roman"/>
          <w:color w:val="auto"/>
          <w:kern w:val="32"/>
          <w:sz w:val="32"/>
          <w:szCs w:val="32"/>
          <w:highlight w:val="none"/>
        </w:rPr>
        <w:t>号）</w:t>
      </w:r>
      <w:r>
        <w:rPr>
          <w:rFonts w:hint="eastAsia" w:ascii="仿宋_GB2312" w:hAnsi="Times New Roman" w:eastAsia="仿宋_GB2312" w:cs="Times New Roman"/>
          <w:color w:val="auto"/>
          <w:kern w:val="32"/>
          <w:sz w:val="32"/>
          <w:szCs w:val="32"/>
          <w:highlight w:val="none"/>
          <w:lang w:eastAsia="zh-CN"/>
        </w:rPr>
        <w:t>、《关于增加行政编制的通知》（廉机编〔2021〕2号）</w:t>
      </w:r>
      <w:r>
        <w:rPr>
          <w:rFonts w:hint="eastAsia" w:ascii="仿宋_GB2312" w:hAnsi="Times New Roman" w:eastAsia="仿宋_GB2312" w:cs="Times New Roman"/>
          <w:color w:val="auto"/>
          <w:kern w:val="32"/>
          <w:sz w:val="32"/>
          <w:szCs w:val="32"/>
          <w:highlight w:val="none"/>
        </w:rPr>
        <w:t>精神设立，为市人民政府工作部门。</w:t>
      </w:r>
      <w:r>
        <w:rPr>
          <w:rFonts w:hint="eastAsia" w:ascii="仿宋_GB2312" w:hAnsi="Times New Roman" w:eastAsia="仿宋_GB2312" w:cs="Times New Roman"/>
          <w:color w:val="auto"/>
          <w:kern w:val="32"/>
          <w:sz w:val="32"/>
          <w:szCs w:val="32"/>
          <w:highlight w:val="none"/>
          <w:lang w:eastAsia="zh-CN"/>
        </w:rPr>
        <w:t>下属</w:t>
      </w:r>
      <w:r>
        <w:rPr>
          <w:rFonts w:hint="eastAsia" w:ascii="仿宋_GB2312" w:hAnsi="Times New Roman" w:eastAsia="仿宋_GB2312" w:cs="Times New Roman"/>
          <w:color w:val="auto"/>
          <w:kern w:val="32"/>
          <w:sz w:val="32"/>
          <w:szCs w:val="32"/>
          <w:highlight w:val="none"/>
          <w:lang w:val="en-US" w:eastAsia="zh-CN"/>
        </w:rPr>
        <w:t>6个非独立核算单位：</w:t>
      </w:r>
      <w:r>
        <w:rPr>
          <w:rFonts w:hint="eastAsia" w:ascii="仿宋_GB2312" w:hAnsi="Times New Roman" w:eastAsia="仿宋_GB2312" w:cs="Times New Roman"/>
          <w:color w:val="auto"/>
          <w:kern w:val="32"/>
          <w:sz w:val="32"/>
          <w:szCs w:val="32"/>
          <w:highlight w:val="none"/>
        </w:rPr>
        <w:t>廉江市土地储备管理中心、廉江市不动产登记中心、廉江市不动产档案信息服务中心、廉江市土地整理中心、廉江市自然资源测绘中心、廉江市自然资源事务中心。</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仿宋_GB2312" w:hAnsi="Times New Roman" w:eastAsia="仿宋_GB2312" w:cs="Times New Roman"/>
          <w:b w:val="0"/>
          <w:bCs/>
          <w:color w:val="auto"/>
          <w:kern w:val="32"/>
          <w:sz w:val="32"/>
          <w:szCs w:val="32"/>
          <w:highlight w:val="none"/>
        </w:rPr>
      </w:pPr>
      <w:r>
        <w:rPr>
          <w:rFonts w:hint="eastAsia" w:ascii="仿宋_GB2312" w:hAnsi="Times New Roman" w:eastAsia="仿宋_GB2312" w:cs="Times New Roman"/>
          <w:b w:val="0"/>
          <w:bCs/>
          <w:color w:val="auto"/>
          <w:kern w:val="32"/>
          <w:sz w:val="32"/>
          <w:szCs w:val="32"/>
          <w:highlight w:val="none"/>
        </w:rPr>
        <w:t>（</w:t>
      </w:r>
      <w:r>
        <w:rPr>
          <w:rFonts w:hint="eastAsia" w:ascii="仿宋_GB2312" w:hAnsi="Times New Roman" w:eastAsia="仿宋_GB2312" w:cs="Times New Roman"/>
          <w:b w:val="0"/>
          <w:bCs/>
          <w:color w:val="auto"/>
          <w:kern w:val="32"/>
          <w:sz w:val="32"/>
          <w:szCs w:val="32"/>
          <w:highlight w:val="none"/>
          <w:lang w:val="en-US" w:eastAsia="zh-CN"/>
        </w:rPr>
        <w:t>2</w:t>
      </w:r>
      <w:r>
        <w:rPr>
          <w:rFonts w:hint="eastAsia" w:ascii="仿宋_GB2312" w:hAnsi="Times New Roman" w:eastAsia="仿宋_GB2312" w:cs="Times New Roman"/>
          <w:b w:val="0"/>
          <w:bCs/>
          <w:color w:val="auto"/>
          <w:kern w:val="32"/>
          <w:sz w:val="32"/>
          <w:szCs w:val="32"/>
          <w:highlight w:val="none"/>
        </w:rPr>
        <w:t>）主要职责：</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仿宋_GB2312" w:hAnsi="Times New Roman" w:eastAsia="仿宋_GB2312" w:cs="Times New Roman"/>
          <w:color w:val="auto"/>
          <w:kern w:val="32"/>
          <w:sz w:val="32"/>
          <w:szCs w:val="32"/>
          <w:highlight w:val="none"/>
          <w:lang w:val="en-US" w:eastAsia="zh-CN"/>
        </w:rPr>
      </w:pPr>
      <w:r>
        <w:rPr>
          <w:rFonts w:hint="eastAsia" w:ascii="仿宋_GB2312" w:hAnsi="Times New Roman" w:eastAsia="仿宋_GB2312" w:cs="Times New Roman"/>
          <w:color w:val="auto"/>
          <w:kern w:val="32"/>
          <w:sz w:val="32"/>
          <w:szCs w:val="32"/>
          <w:highlight w:val="none"/>
          <w:lang w:eastAsia="zh-CN"/>
        </w:rPr>
        <w:t>履行全民所有土地、矿产、水、海洋等自然资源资产所有者职责和所有国土空间用途管 制和城乡规划管理职责；负责自然资源调查监测评价；负责自然资源统一确权登记工作；负责自然资源资产有偿使用工作；负责自然资源的合理开发利用；负责建立国土空间规划体系并监督实施；负责审批项目规划方案；负责城市规划区内建设用地的规划管理等工作；负责城乡规划勘察测量及设计行业管理工作；负责统筹国土空间生态修复；负责组织实施最严格的耕地保护制度；负责管理地质勘查行业和全市地质工作责；负责落实综合防灾减灾规划相关要求。负责矿产资源管理工作；负责监督实施海洋经济规划和发展海洋经济。负责海洋开发利用和保护的监督管理工作；负责测绘地理信息管理工作；负责自然资源领域科技发展、宣传教育、交流与合作工作；负责自然资源行政执法工作；负责指导城市更新和旧城镇、旧厂房、旧村庄改造重新建设管理工作；完成市委、市政府和上级业务部门交办的其他任务；职能转变。</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仿宋_GB2312" w:hAnsi="Times New Roman" w:eastAsia="仿宋_GB2312" w:cs="Times New Roman"/>
          <w:b w:val="0"/>
          <w:bCs/>
          <w:color w:val="auto"/>
          <w:kern w:val="32"/>
          <w:sz w:val="32"/>
          <w:szCs w:val="32"/>
          <w:highlight w:val="none"/>
        </w:rPr>
      </w:pPr>
      <w:r>
        <w:rPr>
          <w:rFonts w:hint="eastAsia" w:ascii="仿宋_GB2312" w:hAnsi="Times New Roman" w:eastAsia="仿宋_GB2312" w:cs="Times New Roman"/>
          <w:b w:val="0"/>
          <w:bCs/>
          <w:color w:val="auto"/>
          <w:kern w:val="32"/>
          <w:sz w:val="32"/>
          <w:szCs w:val="32"/>
          <w:highlight w:val="none"/>
        </w:rPr>
        <w:t>（</w:t>
      </w:r>
      <w:r>
        <w:rPr>
          <w:rFonts w:hint="eastAsia" w:ascii="仿宋_GB2312" w:hAnsi="Times New Roman" w:eastAsia="仿宋_GB2312" w:cs="Times New Roman"/>
          <w:b w:val="0"/>
          <w:bCs/>
          <w:color w:val="auto"/>
          <w:kern w:val="32"/>
          <w:sz w:val="32"/>
          <w:szCs w:val="32"/>
          <w:highlight w:val="none"/>
          <w:lang w:val="en-US" w:eastAsia="zh-CN"/>
        </w:rPr>
        <w:t>3</w:t>
      </w:r>
      <w:r>
        <w:rPr>
          <w:rFonts w:hint="eastAsia" w:ascii="仿宋_GB2312" w:hAnsi="Times New Roman" w:eastAsia="仿宋_GB2312" w:cs="Times New Roman"/>
          <w:b w:val="0"/>
          <w:bCs/>
          <w:color w:val="auto"/>
          <w:kern w:val="32"/>
          <w:sz w:val="32"/>
          <w:szCs w:val="32"/>
          <w:highlight w:val="none"/>
        </w:rPr>
        <w:t>）人员构成：</w:t>
      </w:r>
    </w:p>
    <w:p>
      <w:pPr>
        <w:keepNext w:val="0"/>
        <w:keepLines w:val="0"/>
        <w:pageBreakBefore w:val="0"/>
        <w:numPr>
          <w:ilvl w:val="0"/>
          <w:numId w:val="0"/>
        </w:numPr>
        <w:kinsoku/>
        <w:wordWrap/>
        <w:overflowPunct/>
        <w:topLinePunct w:val="0"/>
        <w:autoSpaceDE/>
        <w:autoSpaceDN/>
        <w:bidi w:val="0"/>
        <w:adjustRightInd/>
        <w:spacing w:line="560" w:lineRule="exact"/>
        <w:ind w:left="0" w:leftChars="0" w:firstLine="643" w:firstLineChars="201"/>
        <w:textAlignment w:val="auto"/>
        <w:rPr>
          <w:rFonts w:hint="eastAsia" w:ascii="仿宋_GB2312" w:hAnsi="Times New Roman" w:eastAsia="仿宋_GB2312" w:cs="Times New Roman"/>
          <w:color w:val="auto"/>
          <w:kern w:val="32"/>
          <w:sz w:val="32"/>
          <w:szCs w:val="32"/>
          <w:highlight w:val="none"/>
          <w:lang w:eastAsia="zh-CN"/>
        </w:rPr>
      </w:pPr>
      <w:r>
        <w:rPr>
          <w:rFonts w:hint="eastAsia" w:ascii="仿宋_GB2312" w:hAnsi="Times New Roman" w:eastAsia="仿宋_GB2312" w:cs="Times New Roman"/>
          <w:color w:val="auto"/>
          <w:kern w:val="32"/>
          <w:sz w:val="32"/>
          <w:szCs w:val="32"/>
          <w:highlight w:val="none"/>
          <w:lang w:eastAsia="zh-CN"/>
        </w:rPr>
        <w:t>廉江市自然资源局本级本级设17个内设股室，机关行政编制41名，行政执法专项编制10名。共5个事业单位，核定事业编制数192名。截止到2025年12月31日，在编在职人员217人，离退休人员165人。</w:t>
      </w:r>
    </w:p>
    <w:p>
      <w:pPr>
        <w:keepNext w:val="0"/>
        <w:keepLines w:val="0"/>
        <w:pageBreakBefore w:val="0"/>
        <w:numPr>
          <w:ilvl w:val="0"/>
          <w:numId w:val="0"/>
        </w:numPr>
        <w:kinsoku/>
        <w:wordWrap/>
        <w:overflowPunct/>
        <w:topLinePunct w:val="0"/>
        <w:autoSpaceDE/>
        <w:autoSpaceDN/>
        <w:bidi w:val="0"/>
        <w:adjustRightInd/>
        <w:spacing w:line="560" w:lineRule="exact"/>
        <w:ind w:left="0" w:leftChars="0" w:firstLine="646" w:firstLineChars="201"/>
        <w:textAlignment w:val="auto"/>
        <w:rPr>
          <w:rFonts w:hint="eastAsia" w:ascii="楷体_GB2312" w:hAnsi="华文仿宋" w:eastAsia="楷体_GB2312" w:cs="仿宋_GB2312"/>
          <w:b/>
          <w:color w:val="auto"/>
          <w:sz w:val="32"/>
          <w:szCs w:val="32"/>
          <w:highlight w:val="none"/>
        </w:rPr>
      </w:pPr>
      <w:r>
        <w:rPr>
          <w:rFonts w:hint="eastAsia" w:ascii="楷体_GB2312" w:hAnsi="华文仿宋" w:eastAsia="楷体_GB2312" w:cs="仿宋_GB2312"/>
          <w:b/>
          <w:color w:val="auto"/>
          <w:kern w:val="2"/>
          <w:sz w:val="32"/>
          <w:szCs w:val="32"/>
          <w:highlight w:val="none"/>
          <w:lang w:val="en-US" w:eastAsia="zh-CN" w:bidi="ar-SA"/>
        </w:rPr>
        <w:t>（二）</w:t>
      </w:r>
      <w:r>
        <w:rPr>
          <w:rFonts w:hint="eastAsia" w:ascii="楷体_GB2312" w:hAnsi="华文仿宋" w:eastAsia="楷体_GB2312" w:cs="仿宋_GB2312"/>
          <w:b/>
          <w:color w:val="auto"/>
          <w:sz w:val="32"/>
          <w:szCs w:val="32"/>
          <w:highlight w:val="none"/>
        </w:rPr>
        <w:t>年度总体工作和重点工作任务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color w:val="auto"/>
          <w:sz w:val="32"/>
          <w:szCs w:val="32"/>
          <w:highlight w:val="none"/>
          <w:lang w:val="en-US" w:eastAsia="zh-CN"/>
        </w:rPr>
      </w:pPr>
      <w:r>
        <w:rPr>
          <w:rFonts w:hint="eastAsia" w:ascii="楷体" w:hAnsi="楷体" w:eastAsia="楷体" w:cs="楷体"/>
          <w:b/>
          <w:bCs/>
          <w:color w:val="auto"/>
          <w:sz w:val="32"/>
          <w:szCs w:val="32"/>
          <w:highlight w:val="none"/>
          <w:lang w:val="en-US" w:eastAsia="zh-CN"/>
        </w:rPr>
        <w:t>1.自然资源执法工作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一是严厉查处自然资源违法行为。二是依法严厉查处新增农村乱占耕地建房问题行为。三是加强对各镇（街）执法业务的培训指导，提高镇（街）执法队伍业务水平，有效遏制自然资源违法行为。</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color w:val="auto"/>
          <w:sz w:val="32"/>
          <w:szCs w:val="32"/>
          <w:highlight w:val="none"/>
          <w:lang w:val="en-US" w:eastAsia="zh-CN"/>
        </w:rPr>
      </w:pPr>
      <w:r>
        <w:rPr>
          <w:rFonts w:hint="eastAsia" w:ascii="楷体" w:hAnsi="楷体" w:eastAsia="楷体" w:cs="楷体"/>
          <w:b/>
          <w:bCs/>
          <w:color w:val="auto"/>
          <w:sz w:val="32"/>
          <w:szCs w:val="32"/>
          <w:highlight w:val="none"/>
          <w:lang w:val="en-US" w:eastAsia="zh-CN"/>
        </w:rPr>
        <w:t>2.高质量做好矿产资源和地质灾害防治工作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为了准确掌握矿山资源情况，充分发挥矿山储量动态监督管理对保护和合理利用矿产资源的作用，推进工作的顺利进行，保障生态环境；为避免工程场地在工程建设及运行过程中受到地质灾害威胁,引发次生地质灾害,更加安全,合理地利用建设场地,从源头防治,最大程度去减少,防止地质灾害的发生。</w:t>
      </w:r>
    </w:p>
    <w:p>
      <w:pPr>
        <w:spacing w:line="560" w:lineRule="exact"/>
        <w:ind w:firstLine="643" w:firstLineChars="200"/>
        <w:rPr>
          <w:rFonts w:hint="eastAsia" w:ascii="楷体" w:hAnsi="楷体" w:eastAsia="楷体" w:cs="楷体"/>
          <w:b/>
          <w:bCs/>
          <w:color w:val="auto"/>
          <w:sz w:val="32"/>
          <w:szCs w:val="32"/>
          <w:highlight w:val="none"/>
          <w:lang w:eastAsia="zh-CN"/>
        </w:rPr>
      </w:pPr>
      <w:r>
        <w:rPr>
          <w:rFonts w:hint="eastAsia" w:ascii="楷体" w:hAnsi="楷体" w:eastAsia="楷体" w:cs="楷体"/>
          <w:b/>
          <w:bCs/>
          <w:color w:val="auto"/>
          <w:sz w:val="32"/>
          <w:szCs w:val="32"/>
          <w:highlight w:val="none"/>
          <w:lang w:val="en-US" w:eastAsia="zh-CN"/>
        </w:rPr>
        <w:t>3.</w:t>
      </w:r>
      <w:r>
        <w:rPr>
          <w:rFonts w:hint="eastAsia" w:ascii="楷体" w:hAnsi="楷体" w:eastAsia="楷体" w:cs="楷体"/>
          <w:b/>
          <w:bCs/>
          <w:color w:val="auto"/>
          <w:sz w:val="32"/>
          <w:szCs w:val="32"/>
          <w:highlight w:val="none"/>
        </w:rPr>
        <w:t>高质量开展征地拆迁工作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完成新征土地等重点项目，加快推进我市经济社会发展和重点项目建设。</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楷体" w:hAnsi="楷体" w:eastAsia="楷体" w:cs="楷体"/>
          <w:b/>
          <w:bCs/>
          <w:color w:val="auto"/>
          <w:sz w:val="32"/>
          <w:szCs w:val="32"/>
          <w:highlight w:val="none"/>
          <w:lang w:val="en-US" w:eastAsia="zh-CN"/>
        </w:rPr>
      </w:pPr>
      <w:r>
        <w:rPr>
          <w:rFonts w:hint="eastAsia" w:ascii="楷体" w:hAnsi="楷体" w:eastAsia="楷体" w:cs="楷体"/>
          <w:b/>
          <w:bCs/>
          <w:color w:val="auto"/>
          <w:sz w:val="32"/>
          <w:szCs w:val="32"/>
          <w:highlight w:val="none"/>
          <w:lang w:val="en-US" w:eastAsia="zh-CN"/>
        </w:rPr>
        <w:t>4.推进拆旧复垦，盘活土地资源，为财政增收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方正仿宋_GB2312" w:eastAsia="仿宋_GB2312" w:cs="方正仿宋_GB2312"/>
          <w:b w:val="0"/>
          <w:bCs/>
          <w:color w:val="auto"/>
          <w:sz w:val="32"/>
          <w:szCs w:val="32"/>
          <w:highlight w:val="none"/>
          <w:lang w:val="en-US" w:eastAsia="zh-CN"/>
        </w:rPr>
      </w:pPr>
      <w:r>
        <w:rPr>
          <w:rFonts w:hint="eastAsia" w:ascii="仿宋_GB2312" w:hAnsi="方正仿宋_GB2312" w:eastAsia="仿宋_GB2312" w:cs="方正仿宋_GB2312"/>
          <w:b w:val="0"/>
          <w:bCs/>
          <w:color w:val="auto"/>
          <w:sz w:val="32"/>
          <w:szCs w:val="32"/>
          <w:highlight w:val="none"/>
          <w:lang w:val="en-US" w:eastAsia="zh-CN"/>
        </w:rPr>
        <w:t>为财政增收，保障了重点项目建设的资金需求。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 w:val="0"/>
          <w:bCs w:val="0"/>
          <w:color w:val="auto"/>
          <w:kern w:val="2"/>
          <w:sz w:val="32"/>
          <w:szCs w:val="32"/>
          <w:highlight w:val="none"/>
          <w:lang w:val="en-US" w:eastAsia="zh-CN" w:bidi="ar-SA"/>
        </w:rPr>
      </w:pPr>
      <w:r>
        <w:rPr>
          <w:rFonts w:hint="eastAsia" w:ascii="楷体" w:hAnsi="楷体" w:eastAsia="楷体" w:cs="楷体"/>
          <w:b/>
          <w:bCs/>
          <w:color w:val="auto"/>
          <w:sz w:val="32"/>
          <w:szCs w:val="32"/>
          <w:highlight w:val="none"/>
          <w:lang w:val="en-US" w:eastAsia="zh-CN"/>
        </w:rPr>
        <w:t>5.加强海域监管，积极推进海域工作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加强海域监管，完善用海手续，积极推进海域使用办证工作；追缴拖欠海域使用金；完成国家海洋督察整改任务；加强海洋环境保护、普法宣传；加强海洋协管员建设，海域巡护常态化。</w:t>
      </w:r>
    </w:p>
    <w:p>
      <w:pPr>
        <w:keepNext w:val="0"/>
        <w:keepLines w:val="0"/>
        <w:pageBreakBefore w:val="0"/>
        <w:numPr>
          <w:ilvl w:val="0"/>
          <w:numId w:val="0"/>
        </w:numPr>
        <w:kinsoku/>
        <w:wordWrap/>
        <w:overflowPunct/>
        <w:topLinePunct w:val="0"/>
        <w:autoSpaceDE/>
        <w:autoSpaceDN/>
        <w:bidi w:val="0"/>
        <w:adjustRightInd/>
        <w:spacing w:line="560" w:lineRule="exact"/>
        <w:ind w:left="0" w:leftChars="0" w:firstLine="646" w:firstLineChars="201"/>
        <w:textAlignment w:val="auto"/>
        <w:rPr>
          <w:rFonts w:hint="eastAsia" w:ascii="楷体_GB2312" w:hAnsi="华文仿宋" w:eastAsia="楷体_GB2312" w:cs="仿宋_GB2312"/>
          <w:b/>
          <w:color w:val="auto"/>
          <w:sz w:val="32"/>
          <w:szCs w:val="32"/>
          <w:highlight w:val="none"/>
        </w:rPr>
      </w:pPr>
      <w:r>
        <w:rPr>
          <w:rFonts w:hint="eastAsia" w:ascii="楷体_GB2312" w:hAnsi="华文仿宋" w:eastAsia="楷体_GB2312" w:cs="仿宋_GB2312"/>
          <w:b/>
          <w:color w:val="auto"/>
          <w:kern w:val="2"/>
          <w:sz w:val="32"/>
          <w:szCs w:val="32"/>
          <w:highlight w:val="none"/>
          <w:lang w:val="en-US" w:eastAsia="zh-CN" w:bidi="ar-SA"/>
        </w:rPr>
        <w:t>（三）</w:t>
      </w:r>
      <w:r>
        <w:rPr>
          <w:rFonts w:hint="eastAsia" w:ascii="楷体_GB2312" w:hAnsi="华文仿宋" w:eastAsia="楷体_GB2312" w:cs="仿宋_GB2312"/>
          <w:b/>
          <w:color w:val="auto"/>
          <w:sz w:val="32"/>
          <w:szCs w:val="32"/>
          <w:highlight w:val="none"/>
        </w:rPr>
        <w:t>部门整体支出绩效目标</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9"/>
        <w:rPr>
          <w:rFonts w:hint="eastAsia" w:ascii="楷体" w:hAnsi="楷体" w:eastAsia="楷体" w:cs="楷体"/>
          <w:b/>
          <w:bCs/>
          <w:color w:val="auto"/>
          <w:kern w:val="2"/>
          <w:sz w:val="32"/>
          <w:szCs w:val="32"/>
          <w:highlight w:val="none"/>
          <w:lang w:val="en-US" w:eastAsia="zh-CN" w:bidi="ar-SA"/>
        </w:rPr>
      </w:pPr>
      <w:r>
        <w:rPr>
          <w:rFonts w:hint="eastAsia" w:ascii="楷体" w:hAnsi="楷体" w:eastAsia="楷体" w:cs="楷体"/>
          <w:b/>
          <w:bCs/>
          <w:color w:val="auto"/>
          <w:kern w:val="2"/>
          <w:sz w:val="32"/>
          <w:szCs w:val="32"/>
          <w:highlight w:val="none"/>
          <w:lang w:val="en-US" w:eastAsia="zh-CN" w:bidi="ar-SA"/>
        </w:rPr>
        <w:t>1.牢记使命担当，依法履职尽责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40"/>
          <w:highlight w:val="none"/>
          <w:lang w:eastAsia="zh-CN"/>
        </w:rPr>
      </w:pPr>
      <w:r>
        <w:rPr>
          <w:rFonts w:hint="eastAsia" w:ascii="仿宋_GB2312" w:hAnsi="仿宋_GB2312" w:eastAsia="仿宋_GB2312" w:cs="仿宋_GB2312"/>
          <w:b w:val="0"/>
          <w:bCs w:val="0"/>
          <w:color w:val="auto"/>
          <w:sz w:val="32"/>
          <w:szCs w:val="40"/>
          <w:highlight w:val="none"/>
          <w:lang w:val="en-US" w:eastAsia="zh-CN"/>
        </w:rPr>
        <w:t>一是严厉查处自然资源违法行为，我局立案查处自然资源违法案件，依法依规保护自然资源。二是通过深化“田长制”网格化监管和利用卫星遥感监测，构建了覆盖全域的动态巡查网络。三是加强对各镇（街）执法业务的培训指导，提高镇（街）执法队伍业务水平，有效遏制自然资源违法行为。</w:t>
      </w:r>
    </w:p>
    <w:p>
      <w:pPr>
        <w:keepNext w:val="0"/>
        <w:keepLines w:val="0"/>
        <w:pageBreakBefore w:val="0"/>
        <w:kinsoku/>
        <w:wordWrap/>
        <w:overflowPunct/>
        <w:topLinePunct w:val="0"/>
        <w:autoSpaceDE/>
        <w:autoSpaceDN/>
        <w:bidi w:val="0"/>
        <w:adjustRightInd/>
        <w:snapToGrid/>
        <w:spacing w:line="600" w:lineRule="exact"/>
        <w:ind w:firstLine="643" w:firstLineChars="200"/>
        <w:jc w:val="both"/>
        <w:textAlignment w:val="auto"/>
        <w:rPr>
          <w:rFonts w:hint="eastAsia" w:ascii="楷体" w:hAnsi="楷体" w:eastAsia="楷体" w:cs="楷体"/>
          <w:b/>
          <w:bCs/>
          <w:color w:val="auto"/>
          <w:kern w:val="2"/>
          <w:sz w:val="32"/>
          <w:szCs w:val="32"/>
          <w:highlight w:val="none"/>
          <w:lang w:val="en-US" w:eastAsia="zh-CN" w:bidi="ar-SA"/>
        </w:rPr>
      </w:pPr>
      <w:r>
        <w:rPr>
          <w:rFonts w:hint="eastAsia" w:ascii="楷体" w:hAnsi="楷体" w:eastAsia="楷体" w:cs="楷体"/>
          <w:b/>
          <w:bCs/>
          <w:color w:val="auto"/>
          <w:kern w:val="2"/>
          <w:sz w:val="32"/>
          <w:szCs w:val="32"/>
          <w:highlight w:val="none"/>
          <w:lang w:val="en-US" w:eastAsia="zh-CN" w:bidi="ar-SA"/>
        </w:rPr>
        <w:t>2.用地报批成果扎实，有效保障发展与民生需求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40"/>
          <w:highlight w:val="none"/>
          <w:lang w:eastAsia="zh-CN"/>
        </w:rPr>
      </w:pPr>
      <w:r>
        <w:rPr>
          <w:rFonts w:hint="eastAsia" w:ascii="仿宋_GB2312" w:hAnsi="仿宋_GB2312" w:eastAsia="仿宋_GB2312" w:cs="仿宋_GB2312"/>
          <w:color w:val="auto"/>
          <w:sz w:val="32"/>
          <w:szCs w:val="40"/>
          <w:highlight w:val="none"/>
          <w:lang w:val="en-US" w:eastAsia="zh-CN"/>
        </w:rPr>
        <w:t>2025年需取得用地批文65个批次（含宅基地33批次），拟批准用地总面积约6285亩（其中宅基地约98亩），保障了各类重大项目及民生工程的顺利落地。尤其是南宁至湛江高速公路广东段工程项目约311亩先行用地成功获得自然资源部批复，为这一重大交通动脉的建设奠定了关键基础。</w:t>
      </w:r>
    </w:p>
    <w:p>
      <w:pPr>
        <w:keepNext w:val="0"/>
        <w:keepLines w:val="0"/>
        <w:pageBreakBefore w:val="0"/>
        <w:kinsoku/>
        <w:wordWrap/>
        <w:overflowPunct/>
        <w:topLinePunct w:val="0"/>
        <w:autoSpaceDE/>
        <w:autoSpaceDN/>
        <w:bidi w:val="0"/>
        <w:adjustRightInd/>
        <w:snapToGrid/>
        <w:spacing w:line="600" w:lineRule="exact"/>
        <w:ind w:firstLine="643" w:firstLineChars="200"/>
        <w:jc w:val="both"/>
        <w:textAlignment w:val="auto"/>
        <w:rPr>
          <w:rFonts w:hint="eastAsia" w:ascii="楷体" w:hAnsi="楷体" w:eastAsia="楷体" w:cs="楷体"/>
          <w:b/>
          <w:bCs/>
          <w:color w:val="auto"/>
          <w:kern w:val="2"/>
          <w:sz w:val="32"/>
          <w:szCs w:val="32"/>
          <w:highlight w:val="none"/>
          <w:lang w:val="en-US" w:eastAsia="zh-CN" w:bidi="ar-SA"/>
        </w:rPr>
      </w:pPr>
      <w:r>
        <w:rPr>
          <w:rFonts w:hint="eastAsia" w:ascii="楷体" w:hAnsi="楷体" w:eastAsia="楷体" w:cs="楷体"/>
          <w:b/>
          <w:bCs/>
          <w:color w:val="auto"/>
          <w:kern w:val="2"/>
          <w:sz w:val="32"/>
          <w:szCs w:val="32"/>
          <w:highlight w:val="none"/>
          <w:lang w:val="en-US" w:eastAsia="zh-CN" w:bidi="ar-SA"/>
        </w:rPr>
        <w:t>3.抓好土地收储工作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color w:val="auto"/>
          <w:sz w:val="32"/>
          <w:szCs w:val="40"/>
          <w:highlight w:val="none"/>
          <w:lang w:val="en-US" w:eastAsia="zh-CN"/>
        </w:rPr>
        <w:t>2025年拟收储入库储备土地共70宗，面积2125亩，其中需要收储36宗约1017亩，需完成2024年度结转入库34宗1107.69亩。</w:t>
      </w:r>
    </w:p>
    <w:p>
      <w:pPr>
        <w:keepNext w:val="0"/>
        <w:keepLines w:val="0"/>
        <w:pageBreakBefore w:val="0"/>
        <w:kinsoku/>
        <w:wordWrap/>
        <w:overflowPunct/>
        <w:topLinePunct w:val="0"/>
        <w:autoSpaceDE/>
        <w:autoSpaceDN/>
        <w:bidi w:val="0"/>
        <w:adjustRightInd/>
        <w:snapToGrid/>
        <w:spacing w:line="600" w:lineRule="exact"/>
        <w:ind w:firstLine="643" w:firstLineChars="200"/>
        <w:jc w:val="both"/>
        <w:textAlignment w:val="auto"/>
        <w:rPr>
          <w:rFonts w:hint="eastAsia" w:ascii="楷体" w:hAnsi="楷体" w:eastAsia="楷体" w:cs="楷体"/>
          <w:b/>
          <w:bCs/>
          <w:color w:val="auto"/>
          <w:kern w:val="2"/>
          <w:sz w:val="32"/>
          <w:szCs w:val="32"/>
          <w:highlight w:val="none"/>
          <w:lang w:val="en-US" w:eastAsia="zh-CN" w:bidi="ar-SA"/>
        </w:rPr>
      </w:pPr>
      <w:r>
        <w:rPr>
          <w:rFonts w:hint="eastAsia" w:ascii="楷体" w:hAnsi="楷体" w:eastAsia="楷体" w:cs="楷体"/>
          <w:b/>
          <w:bCs/>
          <w:color w:val="auto"/>
          <w:kern w:val="2"/>
          <w:sz w:val="32"/>
          <w:szCs w:val="32"/>
          <w:highlight w:val="none"/>
          <w:lang w:val="en-US" w:eastAsia="zh-CN" w:bidi="ar-SA"/>
        </w:rPr>
        <w:t>4.做好垦造水田项目建设与指标出让工作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b w:val="0"/>
          <w:bCs w:val="0"/>
          <w:color w:val="auto"/>
          <w:kern w:val="2"/>
          <w:sz w:val="32"/>
          <w:szCs w:val="32"/>
          <w:highlight w:val="none"/>
          <w:lang w:val="en-US" w:eastAsia="zh-CN" w:bidi="ar-SA"/>
        </w:rPr>
        <w:t>2025年约10个项目的需建设验收,建设总规模约2600 亩，新增水田指标面积约2300亩；出让水田指标约1800亩，收入大于4亿元。</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 w:hAnsi="楷体" w:eastAsia="楷体" w:cs="楷体"/>
          <w:b/>
          <w:bCs/>
          <w:color w:val="auto"/>
          <w:kern w:val="2"/>
          <w:sz w:val="32"/>
          <w:szCs w:val="32"/>
          <w:highlight w:val="none"/>
          <w:lang w:val="en-US" w:eastAsia="zh-CN" w:bidi="ar-SA"/>
        </w:rPr>
      </w:pPr>
      <w:r>
        <w:rPr>
          <w:rFonts w:hint="eastAsia" w:ascii="楷体" w:hAnsi="楷体" w:eastAsia="楷体" w:cs="楷体"/>
          <w:b/>
          <w:bCs/>
          <w:color w:val="auto"/>
          <w:kern w:val="2"/>
          <w:sz w:val="32"/>
          <w:szCs w:val="32"/>
          <w:highlight w:val="none"/>
          <w:lang w:val="en-US" w:eastAsia="zh-CN" w:bidi="ar-SA"/>
        </w:rPr>
        <w:t>5.化解不动产登记难历史遗留问题工作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color w:val="auto"/>
          <w:kern w:val="2"/>
          <w:sz w:val="32"/>
          <w:szCs w:val="32"/>
          <w:highlight w:val="none"/>
          <w:shd w:val="clear" w:color="auto" w:fill="auto"/>
          <w:lang w:val="en-US" w:eastAsia="zh-CN" w:bidi="ar-SA"/>
        </w:rPr>
        <w:t>全市摸排发现因历史遗留问题导致不动产“登记难”的房地产项目，2025年化解率需达到95%以上。同时，拟制定切实可行的《廉江市分类化解不动产登记历史遗留问题的处理方案》，为我市解决因历史遗留问题导致的不动产“登记难”问题提供了全面、可靠的指引。</w:t>
      </w:r>
    </w:p>
    <w:p>
      <w:pPr>
        <w:keepNext w:val="0"/>
        <w:keepLines w:val="0"/>
        <w:pageBreakBefore w:val="0"/>
        <w:kinsoku/>
        <w:wordWrap/>
        <w:overflowPunct/>
        <w:topLinePunct w:val="0"/>
        <w:autoSpaceDE/>
        <w:autoSpaceDN/>
        <w:bidi w:val="0"/>
        <w:adjustRightInd/>
        <w:snapToGrid/>
        <w:spacing w:line="600" w:lineRule="exact"/>
        <w:ind w:firstLine="643" w:firstLineChars="200"/>
        <w:jc w:val="both"/>
        <w:textAlignment w:val="auto"/>
        <w:rPr>
          <w:rFonts w:hint="eastAsia" w:ascii="楷体" w:hAnsi="楷体" w:eastAsia="楷体" w:cs="楷体"/>
          <w:b/>
          <w:bCs/>
          <w:color w:val="auto"/>
          <w:kern w:val="2"/>
          <w:sz w:val="32"/>
          <w:szCs w:val="32"/>
          <w:highlight w:val="none"/>
          <w:lang w:val="en-US" w:eastAsia="zh-CN" w:bidi="ar-SA"/>
        </w:rPr>
      </w:pPr>
      <w:r>
        <w:rPr>
          <w:rFonts w:hint="eastAsia" w:ascii="楷体" w:hAnsi="楷体" w:eastAsia="楷体" w:cs="楷体"/>
          <w:b/>
          <w:bCs/>
          <w:color w:val="auto"/>
          <w:kern w:val="2"/>
          <w:sz w:val="32"/>
          <w:szCs w:val="32"/>
          <w:highlight w:val="none"/>
          <w:lang w:val="en-US" w:eastAsia="zh-CN" w:bidi="ar-SA"/>
        </w:rPr>
        <w:t>6.加快推动采矿权出让，提高经济社会发展资源保障能力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b w:val="0"/>
          <w:bCs w:val="0"/>
          <w:color w:val="auto"/>
          <w:kern w:val="2"/>
          <w:sz w:val="32"/>
          <w:szCs w:val="32"/>
          <w:highlight w:val="none"/>
          <w:lang w:val="en-US" w:eastAsia="zh-CN" w:bidi="ar-SA"/>
        </w:rPr>
        <w:t>2025年采矿权出让拟收入约3900万元。</w:t>
      </w:r>
    </w:p>
    <w:p>
      <w:pPr>
        <w:keepNext w:val="0"/>
        <w:keepLines w:val="0"/>
        <w:pageBreakBefore w:val="0"/>
        <w:kinsoku/>
        <w:wordWrap/>
        <w:overflowPunct/>
        <w:topLinePunct w:val="0"/>
        <w:autoSpaceDE/>
        <w:autoSpaceDN/>
        <w:bidi w:val="0"/>
        <w:adjustRightInd/>
        <w:snapToGrid/>
        <w:spacing w:line="600" w:lineRule="exact"/>
        <w:ind w:firstLine="643" w:firstLineChars="200"/>
        <w:jc w:val="both"/>
        <w:textAlignment w:val="auto"/>
        <w:rPr>
          <w:rFonts w:hint="eastAsia" w:ascii="楷体" w:hAnsi="楷体" w:eastAsia="楷体" w:cs="楷体"/>
          <w:b/>
          <w:bCs/>
          <w:color w:val="auto"/>
          <w:kern w:val="2"/>
          <w:sz w:val="32"/>
          <w:szCs w:val="32"/>
          <w:highlight w:val="none"/>
          <w:lang w:val="en-US" w:eastAsia="zh-CN" w:bidi="ar-SA"/>
        </w:rPr>
      </w:pPr>
      <w:r>
        <w:rPr>
          <w:rFonts w:hint="eastAsia" w:ascii="楷体" w:hAnsi="楷体" w:eastAsia="楷体" w:cs="楷体"/>
          <w:b/>
          <w:bCs/>
          <w:color w:val="auto"/>
          <w:kern w:val="2"/>
          <w:sz w:val="32"/>
          <w:szCs w:val="32"/>
          <w:highlight w:val="none"/>
          <w:lang w:val="en-US" w:eastAsia="zh-CN" w:bidi="ar-SA"/>
        </w:rPr>
        <w:t>7.推进农村建设用地拆旧复垦</w:t>
      </w:r>
    </w:p>
    <w:p>
      <w:pPr>
        <w:keepNext w:val="0"/>
        <w:keepLines w:val="0"/>
        <w:pageBreakBefore w:val="0"/>
        <w:numPr>
          <w:ilvl w:val="0"/>
          <w:numId w:val="0"/>
        </w:numPr>
        <w:kinsoku/>
        <w:wordWrap/>
        <w:overflowPunct/>
        <w:topLinePunct w:val="0"/>
        <w:autoSpaceDE/>
        <w:autoSpaceDN/>
        <w:bidi w:val="0"/>
        <w:adjustRightInd/>
        <w:spacing w:line="560" w:lineRule="exact"/>
        <w:ind w:left="0" w:leftChars="0" w:firstLine="643" w:firstLineChars="201"/>
        <w:textAlignment w:val="auto"/>
        <w:rPr>
          <w:rFonts w:hint="eastAsia" w:ascii="仿宋_GB2312" w:hAnsi="Times New Roman" w:eastAsia="仿宋_GB2312" w:cs="Times New Roman"/>
          <w:color w:val="auto"/>
          <w:kern w:val="32"/>
          <w:sz w:val="32"/>
          <w:szCs w:val="32"/>
          <w:highlight w:val="none"/>
          <w:lang w:val="en-US" w:eastAsia="zh-CN"/>
        </w:rPr>
      </w:pPr>
      <w:r>
        <w:rPr>
          <w:rFonts w:hint="eastAsia" w:ascii="仿宋_GB2312" w:hAnsi="仿宋_GB2312" w:eastAsia="仿宋_GB2312" w:cs="仿宋_GB2312"/>
          <w:b w:val="0"/>
          <w:bCs w:val="0"/>
          <w:color w:val="auto"/>
          <w:kern w:val="2"/>
          <w:sz w:val="32"/>
          <w:szCs w:val="32"/>
          <w:highlight w:val="none"/>
          <w:lang w:val="en-US" w:eastAsia="zh-CN" w:bidi="ar-SA"/>
        </w:rPr>
        <w:t>推进农村建设用地拆旧复垦，2025年通过省级节余指标调剂平台公开交易约201亩，收入约1亿元。</w:t>
      </w:r>
    </w:p>
    <w:p>
      <w:pPr>
        <w:keepNext w:val="0"/>
        <w:keepLines w:val="0"/>
        <w:pageBreakBefore w:val="0"/>
        <w:numPr>
          <w:ilvl w:val="0"/>
          <w:numId w:val="0"/>
        </w:numPr>
        <w:kinsoku/>
        <w:wordWrap/>
        <w:overflowPunct/>
        <w:topLinePunct w:val="0"/>
        <w:autoSpaceDE/>
        <w:autoSpaceDN/>
        <w:bidi w:val="0"/>
        <w:adjustRightInd/>
        <w:spacing w:line="560" w:lineRule="exact"/>
        <w:ind w:left="0" w:leftChars="0" w:firstLine="646" w:firstLineChars="201"/>
        <w:textAlignment w:val="auto"/>
        <w:rPr>
          <w:rFonts w:hint="eastAsia" w:ascii="楷体_GB2312" w:hAnsi="华文仿宋" w:eastAsia="楷体_GB2312" w:cs="仿宋_GB2312"/>
          <w:b/>
          <w:color w:val="auto"/>
          <w:sz w:val="32"/>
          <w:szCs w:val="32"/>
          <w:highlight w:val="none"/>
          <w:lang w:eastAsia="zh-CN"/>
        </w:rPr>
      </w:pPr>
      <w:r>
        <w:rPr>
          <w:rFonts w:hint="eastAsia" w:ascii="楷体_GB2312" w:hAnsi="华文仿宋" w:eastAsia="楷体_GB2312" w:cs="仿宋_GB2312"/>
          <w:b/>
          <w:color w:val="auto"/>
          <w:kern w:val="2"/>
          <w:sz w:val="32"/>
          <w:szCs w:val="32"/>
          <w:highlight w:val="none"/>
          <w:lang w:val="en-US" w:eastAsia="zh-CN" w:bidi="ar-SA"/>
        </w:rPr>
        <w:t>（四）</w:t>
      </w:r>
      <w:r>
        <w:rPr>
          <w:rFonts w:hint="eastAsia" w:ascii="楷体_GB2312" w:hAnsi="华文仿宋" w:eastAsia="楷体_GB2312" w:cs="仿宋_GB2312"/>
          <w:b/>
          <w:color w:val="auto"/>
          <w:sz w:val="32"/>
          <w:szCs w:val="32"/>
          <w:highlight w:val="none"/>
        </w:rPr>
        <w:t>部门整体</w:t>
      </w:r>
      <w:r>
        <w:rPr>
          <w:rFonts w:hint="eastAsia" w:ascii="楷体_GB2312" w:hAnsi="华文仿宋" w:eastAsia="楷体_GB2312" w:cs="仿宋_GB2312"/>
          <w:b/>
          <w:color w:val="auto"/>
          <w:sz w:val="32"/>
          <w:szCs w:val="32"/>
          <w:highlight w:val="none"/>
          <w:lang w:eastAsia="zh-CN"/>
        </w:rPr>
        <w:t>绩效完成情况</w:t>
      </w:r>
    </w:p>
    <w:p>
      <w:pPr>
        <w:keepNext w:val="0"/>
        <w:keepLines w:val="0"/>
        <w:pageBreakBefore w:val="0"/>
        <w:numPr>
          <w:ilvl w:val="0"/>
          <w:numId w:val="0"/>
        </w:numPr>
        <w:kinsoku/>
        <w:wordWrap/>
        <w:overflowPunct/>
        <w:topLinePunct w:val="0"/>
        <w:autoSpaceDE/>
        <w:autoSpaceDN/>
        <w:bidi w:val="0"/>
        <w:adjustRightInd/>
        <w:spacing w:line="560" w:lineRule="exact"/>
        <w:ind w:left="0" w:leftChars="0" w:firstLine="643" w:firstLineChars="201"/>
        <w:textAlignment w:val="auto"/>
        <w:rPr>
          <w:rFonts w:hint="eastAsia" w:ascii="仿宋_GB2312" w:hAnsi="Times New Roman" w:eastAsia="仿宋_GB2312" w:cs="Times New Roman"/>
          <w:color w:val="auto"/>
          <w:kern w:val="32"/>
          <w:sz w:val="32"/>
          <w:szCs w:val="32"/>
          <w:highlight w:val="none"/>
          <w:lang w:val="en-US" w:eastAsia="zh-CN" w:bidi="ar-SA"/>
        </w:rPr>
      </w:pPr>
      <w:r>
        <w:rPr>
          <w:rFonts w:hint="eastAsia" w:ascii="仿宋_GB2312" w:hAnsi="Times New Roman" w:eastAsia="仿宋_GB2312" w:cs="Times New Roman"/>
          <w:color w:val="auto"/>
          <w:kern w:val="32"/>
          <w:sz w:val="32"/>
          <w:szCs w:val="32"/>
          <w:highlight w:val="none"/>
          <w:lang w:val="en-US" w:eastAsia="zh-CN" w:bidi="ar-SA"/>
        </w:rPr>
        <w:t>1.坚决落实最严格的耕地保护制度，以“零容忍”的态度，通过深化“田长制”网格化监管和利用卫星遥感监测，构建了覆盖全域的动态巡查网络，对新增违法问题做到“早发现、早制止、严查处”，并加强对各镇（街）执法业务的培训指导，提高镇（街）执法队伍业务水平，有效遏制自然资源违法行为。一是加大执法监察工作力度。2025年共开展永久基本农田执法监督检查23次，现场核查上级自然资源部门通过卫星遥感监测下发的重点线索78宗，下发各镇（街）核查疑似违法用地线索994宗，及时制止和处理违法用地行为；协助镇（街）开展联合执法行动共12次，立案查处土地、矿产违法案件共12宗，罚没102.6691万元。二是持续对我市历年来共发现的67宗国家自然资源督察问题进行整改，通过用地报批、立案查处及拆除整改方式完成整改56宗，整改率83.6%；三是指导镇（街）立案查处自然资源违法行为20次，组织各镇（街）执法人员开展执法业务培训 5次，培训人数达 200人次，有效提高镇（街）执法队伍业务水平。</w:t>
      </w:r>
    </w:p>
    <w:p>
      <w:pPr>
        <w:keepNext w:val="0"/>
        <w:keepLines w:val="0"/>
        <w:pageBreakBefore w:val="0"/>
        <w:numPr>
          <w:ilvl w:val="0"/>
          <w:numId w:val="0"/>
        </w:numPr>
        <w:kinsoku/>
        <w:wordWrap/>
        <w:overflowPunct/>
        <w:topLinePunct w:val="0"/>
        <w:autoSpaceDE/>
        <w:autoSpaceDN/>
        <w:bidi w:val="0"/>
        <w:adjustRightInd/>
        <w:spacing w:line="560" w:lineRule="exact"/>
        <w:ind w:left="0" w:leftChars="0" w:firstLine="643" w:firstLineChars="201"/>
        <w:textAlignment w:val="auto"/>
        <w:rPr>
          <w:rFonts w:hint="eastAsia" w:ascii="仿宋_GB2312" w:hAnsi="Times New Roman" w:eastAsia="仿宋_GB2312" w:cs="Times New Roman"/>
          <w:color w:val="auto"/>
          <w:kern w:val="32"/>
          <w:sz w:val="32"/>
          <w:szCs w:val="32"/>
          <w:highlight w:val="none"/>
          <w:lang w:val="en-US" w:eastAsia="zh-CN" w:bidi="ar-SA"/>
        </w:rPr>
      </w:pPr>
      <w:r>
        <w:rPr>
          <w:rFonts w:hint="eastAsia" w:ascii="仿宋_GB2312" w:hAnsi="Times New Roman" w:eastAsia="仿宋_GB2312" w:cs="Times New Roman"/>
          <w:color w:val="auto"/>
          <w:kern w:val="32"/>
          <w:sz w:val="32"/>
          <w:szCs w:val="32"/>
          <w:highlight w:val="none"/>
          <w:lang w:val="en-US" w:eastAsia="zh-CN" w:bidi="ar-SA"/>
        </w:rPr>
        <w:t>2.用地报批成果扎实，有效保障发展与民生需求。全年共取得用地批文65个批次（含宅基地33批次），批准用地总面积合计6285.7005亩（其中宅基地98.7255亩），保障了各类重大项目及民生工程的顺利落地。尤其是南宁至湛江高速公路广东段工程项目311.292亩先行用地成功获得自然资源部批复，为这一重大交通动脉的建设奠定了关键基础。</w:t>
      </w:r>
    </w:p>
    <w:p>
      <w:pPr>
        <w:keepNext w:val="0"/>
        <w:keepLines w:val="0"/>
        <w:pageBreakBefore w:val="0"/>
        <w:numPr>
          <w:ilvl w:val="0"/>
          <w:numId w:val="0"/>
        </w:numPr>
        <w:kinsoku/>
        <w:wordWrap/>
        <w:overflowPunct/>
        <w:topLinePunct w:val="0"/>
        <w:autoSpaceDE/>
        <w:autoSpaceDN/>
        <w:bidi w:val="0"/>
        <w:adjustRightInd/>
        <w:spacing w:line="560" w:lineRule="exact"/>
        <w:ind w:left="0" w:leftChars="0" w:firstLine="643" w:firstLineChars="201"/>
        <w:textAlignment w:val="auto"/>
        <w:rPr>
          <w:rFonts w:hint="eastAsia" w:ascii="仿宋_GB2312" w:hAnsi="Times New Roman" w:eastAsia="仿宋_GB2312" w:cs="Times New Roman"/>
          <w:color w:val="auto"/>
          <w:kern w:val="32"/>
          <w:sz w:val="32"/>
          <w:szCs w:val="32"/>
          <w:highlight w:val="none"/>
          <w:lang w:val="en-US" w:eastAsia="zh-CN" w:bidi="ar-SA"/>
        </w:rPr>
      </w:pPr>
      <w:r>
        <w:rPr>
          <w:rFonts w:hint="eastAsia" w:ascii="仿宋_GB2312" w:hAnsi="Times New Roman" w:eastAsia="仿宋_GB2312" w:cs="Times New Roman"/>
          <w:color w:val="auto"/>
          <w:kern w:val="32"/>
          <w:sz w:val="32"/>
          <w:szCs w:val="32"/>
          <w:highlight w:val="none"/>
          <w:lang w:val="en-US" w:eastAsia="zh-CN" w:bidi="ar-SA"/>
        </w:rPr>
        <w:t>3.抓好土地收储工作。抓好土地收储工作。截止至目前收储入库储备土地共70宗，面积2125亩，其中2025年度收储36宗1017.31亩，2024年度结转入库34宗1107.69亩，目前在库未供储备土地有51宗共1274.38亩。今年组卷5个新增储备土地项目（含红花岭片区500亩项目、良垌平坦片区950亩土地项目、塘蓬产业园284亩项目、廉江市高新技术开发区金山工业园338亩项目、旧城西污水处理厂96亩项目）材料拟申报2025年地方政府土地储备专项债券共7.9亿元，目前省审批只通过2个项目（塘蓬产业园284亩项目和廉江市高新技术开发区金山工业园338亩项目），债券额度为2.25亿元，拟用于收储土地662亩。由于整个湛江市债券项目众多，额度分配有限，廉江该2个项目专债暂时未有发行。</w:t>
      </w:r>
    </w:p>
    <w:p>
      <w:pPr>
        <w:keepNext w:val="0"/>
        <w:keepLines w:val="0"/>
        <w:pageBreakBefore w:val="0"/>
        <w:numPr>
          <w:ilvl w:val="0"/>
          <w:numId w:val="0"/>
        </w:numPr>
        <w:kinsoku/>
        <w:wordWrap/>
        <w:overflowPunct/>
        <w:topLinePunct w:val="0"/>
        <w:autoSpaceDE/>
        <w:autoSpaceDN/>
        <w:bidi w:val="0"/>
        <w:adjustRightInd/>
        <w:spacing w:line="560" w:lineRule="exact"/>
        <w:ind w:left="0" w:leftChars="0" w:firstLine="643" w:firstLineChars="201"/>
        <w:textAlignment w:val="auto"/>
        <w:rPr>
          <w:rFonts w:hint="eastAsia" w:ascii="仿宋_GB2312" w:hAnsi="Times New Roman" w:eastAsia="仿宋_GB2312" w:cs="Times New Roman"/>
          <w:color w:val="auto"/>
          <w:kern w:val="32"/>
          <w:sz w:val="32"/>
          <w:szCs w:val="32"/>
          <w:highlight w:val="none"/>
          <w:lang w:val="en-US" w:eastAsia="zh-CN" w:bidi="ar-SA"/>
        </w:rPr>
      </w:pPr>
      <w:r>
        <w:rPr>
          <w:rFonts w:hint="eastAsia" w:ascii="仿宋_GB2312" w:hAnsi="Times New Roman" w:eastAsia="仿宋_GB2312" w:cs="Times New Roman"/>
          <w:color w:val="auto"/>
          <w:kern w:val="32"/>
          <w:sz w:val="32"/>
          <w:szCs w:val="32"/>
          <w:highlight w:val="none"/>
          <w:lang w:val="en-US" w:eastAsia="zh-CN" w:bidi="ar-SA"/>
        </w:rPr>
        <w:t>4.做好垦造水田项目建设与指标出让工作。2025年完成10个项目的建设验收,建设总规模2685.17 亩，新增水田指标面积2322.09亩；出让水田指标1816.762亩（含合湛高铁水田指标268.9695亩，0.8069亿元），收入5.4503亿元。</w:t>
      </w:r>
    </w:p>
    <w:p>
      <w:pPr>
        <w:keepNext w:val="0"/>
        <w:keepLines w:val="0"/>
        <w:pageBreakBefore w:val="0"/>
        <w:numPr>
          <w:ilvl w:val="0"/>
          <w:numId w:val="0"/>
        </w:numPr>
        <w:kinsoku/>
        <w:wordWrap/>
        <w:overflowPunct/>
        <w:topLinePunct w:val="0"/>
        <w:autoSpaceDE/>
        <w:autoSpaceDN/>
        <w:bidi w:val="0"/>
        <w:adjustRightInd/>
        <w:spacing w:line="560" w:lineRule="exact"/>
        <w:ind w:left="0" w:leftChars="0" w:firstLine="643" w:firstLineChars="201"/>
        <w:textAlignment w:val="auto"/>
        <w:rPr>
          <w:rFonts w:hint="eastAsia" w:ascii="仿宋_GB2312" w:hAnsi="Times New Roman" w:eastAsia="仿宋_GB2312" w:cs="Times New Roman"/>
          <w:color w:val="auto"/>
          <w:kern w:val="32"/>
          <w:sz w:val="32"/>
          <w:szCs w:val="32"/>
          <w:highlight w:val="none"/>
          <w:lang w:val="en-US" w:eastAsia="zh-CN" w:bidi="ar-SA"/>
        </w:rPr>
      </w:pPr>
      <w:r>
        <w:rPr>
          <w:rFonts w:hint="eastAsia" w:ascii="仿宋_GB2312" w:hAnsi="Times New Roman" w:eastAsia="仿宋_GB2312" w:cs="Times New Roman"/>
          <w:color w:val="auto"/>
          <w:kern w:val="32"/>
          <w:sz w:val="32"/>
          <w:szCs w:val="32"/>
          <w:highlight w:val="none"/>
          <w:lang w:val="en-US" w:eastAsia="zh-CN" w:bidi="ar-SA"/>
        </w:rPr>
        <w:t>5.化解不动产登记难历史遗留问题工作。2025年，全市摸排发现因历史遗留问题导致不动产“登记难”的房地产项目有6个，涉及房屋1881套，总共化解套数1815套，化解率为96.49%。同时，制定切实可行的《廉江市分类化解不动产登记历史遗留问题的处理方案》，为我市解决因历史遗留问题导致的不动产“登记难”问题提供了全面、可靠的指引。</w:t>
      </w:r>
    </w:p>
    <w:p>
      <w:pPr>
        <w:keepNext w:val="0"/>
        <w:keepLines w:val="0"/>
        <w:pageBreakBefore w:val="0"/>
        <w:numPr>
          <w:ilvl w:val="0"/>
          <w:numId w:val="0"/>
        </w:numPr>
        <w:kinsoku/>
        <w:wordWrap/>
        <w:overflowPunct/>
        <w:topLinePunct w:val="0"/>
        <w:autoSpaceDE/>
        <w:autoSpaceDN/>
        <w:bidi w:val="0"/>
        <w:adjustRightInd/>
        <w:spacing w:line="560" w:lineRule="exact"/>
        <w:ind w:left="0" w:leftChars="0" w:firstLine="643" w:firstLineChars="201"/>
        <w:textAlignment w:val="auto"/>
        <w:rPr>
          <w:rFonts w:hint="eastAsia" w:ascii="仿宋_GB2312" w:hAnsi="Times New Roman" w:eastAsia="仿宋_GB2312" w:cs="Times New Roman"/>
          <w:color w:val="auto"/>
          <w:kern w:val="32"/>
          <w:sz w:val="32"/>
          <w:szCs w:val="32"/>
          <w:highlight w:val="none"/>
          <w:lang w:val="en-US" w:eastAsia="zh-CN" w:bidi="ar-SA"/>
        </w:rPr>
      </w:pPr>
      <w:r>
        <w:rPr>
          <w:rFonts w:hint="eastAsia" w:ascii="仿宋_GB2312" w:hAnsi="Times New Roman" w:eastAsia="仿宋_GB2312" w:cs="Times New Roman"/>
          <w:color w:val="auto"/>
          <w:kern w:val="32"/>
          <w:sz w:val="32"/>
          <w:szCs w:val="32"/>
          <w:highlight w:val="none"/>
          <w:lang w:val="en-US" w:eastAsia="zh-CN" w:bidi="ar-SA"/>
        </w:rPr>
        <w:t>6.我局加快推动采矿权出让，提高经济社会发展资源保障能力。2025年,采矿权出让收入4365万元，已超额28.59%完成年度目标任务（3900万元）。其中，廉江市石岭镇大垌矿区水泥用石灰岩矿于2025年7月30日成功出让，成交总价3525万元。</w:t>
      </w:r>
    </w:p>
    <w:p>
      <w:pPr>
        <w:keepNext w:val="0"/>
        <w:keepLines w:val="0"/>
        <w:pageBreakBefore w:val="0"/>
        <w:numPr>
          <w:ilvl w:val="0"/>
          <w:numId w:val="0"/>
        </w:numPr>
        <w:kinsoku/>
        <w:wordWrap/>
        <w:overflowPunct/>
        <w:topLinePunct w:val="0"/>
        <w:autoSpaceDE/>
        <w:autoSpaceDN/>
        <w:bidi w:val="0"/>
        <w:adjustRightInd/>
        <w:spacing w:line="560" w:lineRule="exact"/>
        <w:ind w:left="0" w:leftChars="0" w:firstLine="643" w:firstLineChars="201"/>
        <w:textAlignment w:val="auto"/>
        <w:rPr>
          <w:rFonts w:hint="eastAsia" w:ascii="仿宋_GB2312" w:hAnsi="Times New Roman" w:eastAsia="仿宋_GB2312" w:cs="Times New Roman"/>
          <w:color w:val="auto"/>
          <w:kern w:val="32"/>
          <w:sz w:val="32"/>
          <w:szCs w:val="32"/>
          <w:highlight w:val="none"/>
          <w:lang w:val="en-US" w:eastAsia="zh-CN" w:bidi="ar-SA"/>
        </w:rPr>
      </w:pPr>
      <w:r>
        <w:rPr>
          <w:rFonts w:hint="eastAsia" w:ascii="仿宋_GB2312" w:hAnsi="Times New Roman" w:eastAsia="仿宋_GB2312" w:cs="Times New Roman"/>
          <w:color w:val="auto"/>
          <w:kern w:val="32"/>
          <w:sz w:val="32"/>
          <w:szCs w:val="32"/>
          <w:highlight w:val="none"/>
          <w:lang w:val="en-US" w:eastAsia="zh-CN" w:bidi="ar-SA"/>
        </w:rPr>
        <w:t>7.2025年通过省级节余指标调剂平台公开交易201.6898亩，收入1.0084亿元。目前我市尚可交易的拆旧复垦指标面积约1000亩，其中241.0824亩已经通过省核查，等待交易；正在实施约760亩，预计2026年年底前可完成。</w:t>
      </w:r>
    </w:p>
    <w:p>
      <w:pPr>
        <w:keepNext w:val="0"/>
        <w:keepLines w:val="0"/>
        <w:pageBreakBefore w:val="0"/>
        <w:numPr>
          <w:ilvl w:val="0"/>
          <w:numId w:val="0"/>
        </w:numPr>
        <w:kinsoku/>
        <w:wordWrap/>
        <w:overflowPunct/>
        <w:topLinePunct w:val="0"/>
        <w:autoSpaceDE/>
        <w:autoSpaceDN/>
        <w:bidi w:val="0"/>
        <w:adjustRightInd/>
        <w:spacing w:line="560" w:lineRule="exact"/>
        <w:ind w:left="0" w:leftChars="0" w:firstLine="646" w:firstLineChars="201"/>
        <w:textAlignment w:val="auto"/>
        <w:rPr>
          <w:rFonts w:hint="eastAsia" w:ascii="楷体_GB2312" w:hAnsi="华文仿宋" w:eastAsia="楷体_GB2312" w:cs="仿宋_GB2312"/>
          <w:b/>
          <w:color w:val="auto"/>
          <w:sz w:val="32"/>
          <w:szCs w:val="32"/>
          <w:highlight w:val="none"/>
        </w:rPr>
      </w:pPr>
      <w:r>
        <w:rPr>
          <w:rFonts w:hint="eastAsia" w:ascii="楷体_GB2312" w:hAnsi="华文仿宋" w:eastAsia="楷体_GB2312" w:cs="仿宋_GB2312"/>
          <w:b/>
          <w:color w:val="auto"/>
          <w:kern w:val="2"/>
          <w:sz w:val="32"/>
          <w:szCs w:val="32"/>
          <w:highlight w:val="none"/>
          <w:lang w:val="en-US" w:eastAsia="zh-CN" w:bidi="ar-SA"/>
        </w:rPr>
        <w:t>（五）</w:t>
      </w:r>
      <w:r>
        <w:rPr>
          <w:rFonts w:hint="eastAsia" w:ascii="楷体_GB2312" w:hAnsi="华文仿宋" w:eastAsia="楷体_GB2312" w:cs="仿宋_GB2312"/>
          <w:b/>
          <w:color w:val="auto"/>
          <w:sz w:val="32"/>
          <w:szCs w:val="32"/>
          <w:highlight w:val="none"/>
        </w:rPr>
        <w:t>部门整体支出情况</w:t>
      </w:r>
    </w:p>
    <w:p>
      <w:pPr>
        <w:pStyle w:val="16"/>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outlineLvl w:val="1"/>
        <w:rPr>
          <w:rFonts w:hint="default" w:ascii="仿宋_GB2312" w:eastAsia="仿宋_GB2312" w:cs="宋体" w:hAnsiTheme="minorHAnsi"/>
          <w:color w:val="auto"/>
          <w:kern w:val="0"/>
          <w:sz w:val="32"/>
          <w:szCs w:val="32"/>
          <w:highlight w:val="none"/>
          <w:u w:val="none"/>
          <w:shd w:val="clear"/>
          <w:lang w:val="en-US" w:eastAsia="zh-CN" w:bidi="ar"/>
        </w:rPr>
      </w:pPr>
      <w:bookmarkStart w:id="0" w:name="_Toc30611"/>
      <w:bookmarkStart w:id="1" w:name="_Toc25070"/>
      <w:bookmarkStart w:id="2" w:name="_Toc20994"/>
      <w:bookmarkStart w:id="3" w:name="_Toc29060"/>
      <w:bookmarkStart w:id="4" w:name="_Toc2923"/>
      <w:r>
        <w:rPr>
          <w:rFonts w:hint="default" w:ascii="仿宋_GB2312" w:eastAsia="仿宋_GB2312" w:cs="宋体" w:hAnsiTheme="minorHAnsi"/>
          <w:color w:val="auto"/>
          <w:kern w:val="0"/>
          <w:sz w:val="32"/>
          <w:szCs w:val="32"/>
          <w:highlight w:val="none"/>
          <w:u w:val="none"/>
          <w:shd w:val="clear"/>
          <w:lang w:val="en-US" w:eastAsia="zh-CN" w:bidi="ar"/>
        </w:rPr>
        <w:t>根据《关于批复202</w:t>
      </w:r>
      <w:r>
        <w:rPr>
          <w:rFonts w:hint="eastAsia" w:ascii="仿宋_GB2312" w:eastAsia="仿宋_GB2312" w:cs="宋体" w:hAnsiTheme="minorHAnsi"/>
          <w:color w:val="auto"/>
          <w:kern w:val="0"/>
          <w:sz w:val="32"/>
          <w:szCs w:val="32"/>
          <w:highlight w:val="none"/>
          <w:u w:val="none"/>
          <w:shd w:val="clear"/>
          <w:lang w:val="en-US" w:eastAsia="zh-CN" w:bidi="ar"/>
        </w:rPr>
        <w:t>5</w:t>
      </w:r>
      <w:r>
        <w:rPr>
          <w:rFonts w:hint="default" w:ascii="仿宋_GB2312" w:eastAsia="仿宋_GB2312" w:cs="宋体" w:hAnsiTheme="minorHAnsi"/>
          <w:color w:val="auto"/>
          <w:kern w:val="0"/>
          <w:sz w:val="32"/>
          <w:szCs w:val="32"/>
          <w:highlight w:val="none"/>
          <w:u w:val="none"/>
          <w:shd w:val="clear"/>
          <w:lang w:val="en-US" w:eastAsia="zh-CN" w:bidi="ar"/>
        </w:rPr>
        <w:t>年部门预算的通知》（廉财预〔202</w:t>
      </w:r>
      <w:r>
        <w:rPr>
          <w:rFonts w:hint="eastAsia" w:ascii="仿宋_GB2312" w:eastAsia="仿宋_GB2312" w:cs="宋体" w:hAnsiTheme="minorHAnsi"/>
          <w:color w:val="auto"/>
          <w:kern w:val="0"/>
          <w:sz w:val="32"/>
          <w:szCs w:val="32"/>
          <w:highlight w:val="none"/>
          <w:u w:val="none"/>
          <w:shd w:val="clear"/>
          <w:lang w:val="en-US" w:eastAsia="zh-CN" w:bidi="ar"/>
        </w:rPr>
        <w:t>5</w:t>
      </w:r>
      <w:r>
        <w:rPr>
          <w:rFonts w:hint="default" w:ascii="仿宋_GB2312" w:eastAsia="仿宋_GB2312" w:cs="宋体" w:hAnsiTheme="minorHAnsi"/>
          <w:color w:val="auto"/>
          <w:kern w:val="0"/>
          <w:sz w:val="32"/>
          <w:szCs w:val="32"/>
          <w:highlight w:val="none"/>
          <w:u w:val="none"/>
          <w:shd w:val="clear"/>
          <w:lang w:val="en-US" w:eastAsia="zh-CN" w:bidi="ar"/>
        </w:rPr>
        <w:t>〕2</w:t>
      </w:r>
      <w:r>
        <w:rPr>
          <w:rFonts w:hint="eastAsia" w:ascii="仿宋_GB2312" w:eastAsia="仿宋_GB2312" w:cs="宋体" w:hAnsiTheme="minorHAnsi"/>
          <w:color w:val="auto"/>
          <w:kern w:val="0"/>
          <w:sz w:val="32"/>
          <w:szCs w:val="32"/>
          <w:highlight w:val="none"/>
          <w:u w:val="none"/>
          <w:shd w:val="clear"/>
          <w:lang w:val="en-US" w:eastAsia="zh-CN" w:bidi="ar"/>
        </w:rPr>
        <w:t>5</w:t>
      </w:r>
      <w:r>
        <w:rPr>
          <w:rFonts w:hint="default" w:ascii="仿宋_GB2312" w:eastAsia="仿宋_GB2312" w:cs="宋体" w:hAnsiTheme="minorHAnsi"/>
          <w:color w:val="auto"/>
          <w:kern w:val="0"/>
          <w:sz w:val="32"/>
          <w:szCs w:val="32"/>
          <w:highlight w:val="none"/>
          <w:u w:val="none"/>
          <w:shd w:val="clear"/>
          <w:lang w:val="en-US" w:eastAsia="zh-CN" w:bidi="ar"/>
        </w:rPr>
        <w:t>号）、20</w:t>
      </w:r>
      <w:r>
        <w:rPr>
          <w:rFonts w:hint="eastAsia" w:ascii="仿宋_GB2312" w:eastAsia="仿宋_GB2312" w:cs="宋体" w:hAnsiTheme="minorHAnsi"/>
          <w:color w:val="auto"/>
          <w:kern w:val="0"/>
          <w:sz w:val="32"/>
          <w:szCs w:val="32"/>
          <w:highlight w:val="none"/>
          <w:u w:val="none"/>
          <w:shd w:val="clear"/>
          <w:lang w:val="en-US" w:eastAsia="zh-CN" w:bidi="ar"/>
        </w:rPr>
        <w:t>25</w:t>
      </w:r>
      <w:r>
        <w:rPr>
          <w:rFonts w:hint="default" w:ascii="仿宋_GB2312" w:eastAsia="仿宋_GB2312" w:cs="宋体" w:hAnsiTheme="minorHAnsi"/>
          <w:color w:val="auto"/>
          <w:kern w:val="0"/>
          <w:sz w:val="32"/>
          <w:szCs w:val="32"/>
          <w:highlight w:val="none"/>
          <w:u w:val="none"/>
          <w:shd w:val="clear"/>
          <w:lang w:val="en-US" w:eastAsia="zh-CN" w:bidi="ar"/>
        </w:rPr>
        <w:t>年部门决算报表（收入支出决算总表</w:t>
      </w:r>
      <w:r>
        <w:rPr>
          <w:rFonts w:hint="eastAsia" w:ascii="仿宋_GB2312" w:eastAsia="仿宋_GB2312" w:cs="宋体" w:hAnsiTheme="minorHAnsi"/>
          <w:color w:val="auto"/>
          <w:kern w:val="0"/>
          <w:sz w:val="32"/>
          <w:szCs w:val="32"/>
          <w:highlight w:val="none"/>
          <w:u w:val="none"/>
          <w:shd w:val="clear"/>
          <w:lang w:val="en-US" w:eastAsia="zh-CN" w:bidi="ar"/>
        </w:rPr>
        <w:t>财决01表</w:t>
      </w:r>
      <w:r>
        <w:rPr>
          <w:rFonts w:hint="default" w:ascii="仿宋_GB2312" w:eastAsia="仿宋_GB2312" w:cs="宋体" w:hAnsiTheme="minorHAnsi"/>
          <w:color w:val="auto"/>
          <w:kern w:val="0"/>
          <w:sz w:val="32"/>
          <w:szCs w:val="32"/>
          <w:highlight w:val="none"/>
          <w:u w:val="none"/>
          <w:shd w:val="clear"/>
          <w:lang w:val="en-US" w:eastAsia="zh-CN" w:bidi="ar"/>
        </w:rPr>
        <w:t>），部门整体支</w:t>
      </w:r>
      <w:r>
        <w:rPr>
          <w:rFonts w:hint="eastAsia" w:ascii="仿宋_GB2312" w:eastAsia="仿宋_GB2312" w:cs="宋体" w:hAnsiTheme="minorHAnsi"/>
          <w:color w:val="auto"/>
          <w:kern w:val="0"/>
          <w:sz w:val="32"/>
          <w:szCs w:val="32"/>
          <w:highlight w:val="none"/>
          <w:u w:val="none"/>
          <w:shd w:val="clear"/>
          <w:lang w:val="en-US" w:eastAsia="zh-CN" w:bidi="ar"/>
        </w:rPr>
        <w:t>出</w:t>
      </w:r>
      <w:r>
        <w:rPr>
          <w:rFonts w:hint="default" w:ascii="仿宋_GB2312" w:eastAsia="仿宋_GB2312" w:cs="宋体" w:hAnsiTheme="minorHAnsi"/>
          <w:color w:val="auto"/>
          <w:kern w:val="0"/>
          <w:sz w:val="32"/>
          <w:szCs w:val="32"/>
          <w:highlight w:val="none"/>
          <w:u w:val="none"/>
          <w:shd w:val="clear"/>
          <w:lang w:val="en-US" w:eastAsia="zh-CN" w:bidi="ar"/>
        </w:rPr>
        <w:t>情况如下：</w:t>
      </w:r>
      <w:bookmarkEnd w:id="0"/>
      <w:bookmarkEnd w:id="1"/>
      <w:bookmarkEnd w:id="2"/>
      <w:bookmarkEnd w:id="3"/>
      <w:bookmarkEnd w:id="4"/>
    </w:p>
    <w:tbl>
      <w:tblPr>
        <w:tblStyle w:val="11"/>
        <w:tblW w:w="89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720"/>
        <w:gridCol w:w="1740"/>
        <w:gridCol w:w="1740"/>
        <w:gridCol w:w="17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3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项目(按支出性质和经济分类)</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年初预算数</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全年预算数</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3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一、基本支出</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3,634.50</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3,873.29</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3,873.29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3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      人员经费</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3,560.73</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3,783.97</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3,783.97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3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      公用经费</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73.77</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89.32</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89.32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3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二、项目支出</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2,269.90</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35,650.37</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35,650.37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3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    其中：基本建设类项目</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3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三、上缴上级支出</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3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四、经营支出</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3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五、对附属单位补助支出</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3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经济分类支出合计</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5,904.40</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39,523.66</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39,523.66</w:t>
            </w:r>
          </w:p>
        </w:tc>
      </w:tr>
    </w:tbl>
    <w:p>
      <w:pPr>
        <w:keepNext w:val="0"/>
        <w:keepLines w:val="0"/>
        <w:pageBreakBefore w:val="0"/>
        <w:widowControl/>
        <w:kinsoku/>
        <w:wordWrap/>
        <w:overflowPunct/>
        <w:topLinePunct w:val="0"/>
        <w:autoSpaceDE/>
        <w:autoSpaceDN/>
        <w:bidi w:val="0"/>
        <w:adjustRightInd/>
        <w:spacing w:line="560" w:lineRule="exact"/>
        <w:ind w:right="150" w:firstLine="643" w:firstLineChars="201"/>
        <w:jc w:val="left"/>
        <w:textAlignment w:val="auto"/>
        <w:rPr>
          <w:rFonts w:hint="eastAsia" w:ascii="黑体" w:hAnsi="黑体" w:eastAsia="黑体" w:cs="仿宋_GB2312"/>
          <w:color w:val="auto"/>
          <w:kern w:val="0"/>
          <w:sz w:val="32"/>
          <w:szCs w:val="32"/>
          <w:highlight w:val="none"/>
        </w:rPr>
      </w:pPr>
      <w:r>
        <w:rPr>
          <w:rFonts w:hint="eastAsia" w:ascii="黑体" w:hAnsi="黑体" w:eastAsia="黑体" w:cs="仿宋_GB2312"/>
          <w:color w:val="auto"/>
          <w:kern w:val="0"/>
          <w:sz w:val="32"/>
          <w:szCs w:val="32"/>
          <w:highlight w:val="none"/>
        </w:rPr>
        <w:t>二、自评工作开展情况</w:t>
      </w:r>
    </w:p>
    <w:p>
      <w:pPr>
        <w:keepNext w:val="0"/>
        <w:keepLines w:val="0"/>
        <w:pageBreakBefore w:val="0"/>
        <w:widowControl/>
        <w:kinsoku/>
        <w:wordWrap/>
        <w:overflowPunct/>
        <w:topLinePunct w:val="0"/>
        <w:autoSpaceDE/>
        <w:autoSpaceDN/>
        <w:bidi w:val="0"/>
        <w:adjustRightInd/>
        <w:spacing w:line="560" w:lineRule="exact"/>
        <w:ind w:right="150" w:firstLine="646" w:firstLineChars="201"/>
        <w:jc w:val="left"/>
        <w:textAlignment w:val="auto"/>
        <w:rPr>
          <w:rFonts w:hint="eastAsia" w:ascii="楷体_GB2312" w:hAnsi="华文仿宋" w:eastAsia="楷体_GB2312" w:cs="仿宋_GB2312"/>
          <w:b/>
          <w:color w:val="auto"/>
          <w:sz w:val="32"/>
          <w:szCs w:val="32"/>
          <w:highlight w:val="none"/>
        </w:rPr>
      </w:pPr>
      <w:r>
        <w:rPr>
          <w:rFonts w:hint="eastAsia" w:ascii="楷体_GB2312" w:hAnsi="华文仿宋" w:eastAsia="楷体_GB2312" w:cs="仿宋_GB2312"/>
          <w:b/>
          <w:color w:val="auto"/>
          <w:sz w:val="32"/>
          <w:szCs w:val="32"/>
          <w:highlight w:val="none"/>
        </w:rPr>
        <w:t>（一）评价小组情况。</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华文仿宋" w:eastAsia="仿宋_GB2312" w:cs="仿宋_GB2312"/>
          <w:color w:val="auto"/>
          <w:sz w:val="32"/>
          <w:szCs w:val="32"/>
          <w:highlight w:val="none"/>
          <w:lang w:val="en-US" w:eastAsia="zh-CN"/>
        </w:rPr>
      </w:pPr>
      <w:r>
        <w:rPr>
          <w:rFonts w:hint="eastAsia" w:ascii="仿宋_GB2312" w:hAnsi="华文仿宋" w:eastAsia="仿宋_GB2312" w:cs="仿宋_GB2312"/>
          <w:color w:val="auto"/>
          <w:sz w:val="32"/>
          <w:szCs w:val="32"/>
          <w:highlight w:val="none"/>
          <w:lang w:val="en-US" w:eastAsia="zh-CN"/>
        </w:rPr>
        <w:t>根据</w:t>
      </w:r>
      <w:r>
        <w:rPr>
          <w:rFonts w:hint="eastAsia" w:ascii="仿宋_GB2312" w:hAnsi="仿宋_GB2312" w:eastAsia="仿宋_GB2312" w:cs="仿宋_GB2312"/>
          <w:color w:val="auto"/>
          <w:sz w:val="32"/>
          <w:szCs w:val="32"/>
          <w:highlight w:val="none"/>
          <w:lang w:val="en-US" w:eastAsia="zh-CN"/>
        </w:rPr>
        <w:t>相关文件</w:t>
      </w:r>
      <w:r>
        <w:rPr>
          <w:rFonts w:hint="eastAsia" w:ascii="仿宋_GB2312" w:hAnsi="华文仿宋" w:eastAsia="仿宋_GB2312" w:cs="仿宋_GB2312"/>
          <w:color w:val="auto"/>
          <w:sz w:val="32"/>
          <w:szCs w:val="32"/>
          <w:highlight w:val="none"/>
          <w:lang w:val="en-US" w:eastAsia="zh-CN"/>
        </w:rPr>
        <w:t>要求，我局成立了绩效评价小组，严格按照文件规定的人数及人员结构进行明确分工。</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right="0" w:rightChars="0" w:firstLine="643" w:firstLineChars="200"/>
        <w:jc w:val="left"/>
        <w:textAlignment w:val="auto"/>
        <w:rPr>
          <w:rFonts w:hint="eastAsia" w:ascii="楷体_GB2312" w:hAnsi="华文仿宋" w:eastAsia="楷体_GB2312" w:cs="仿宋_GB2312"/>
          <w:b/>
          <w:color w:val="auto"/>
          <w:sz w:val="32"/>
          <w:szCs w:val="32"/>
          <w:highlight w:val="none"/>
        </w:rPr>
      </w:pPr>
      <w:r>
        <w:rPr>
          <w:rFonts w:hint="eastAsia" w:ascii="楷体_GB2312" w:hAnsi="华文仿宋" w:eastAsia="楷体_GB2312" w:cs="仿宋_GB2312"/>
          <w:b/>
          <w:color w:val="auto"/>
          <w:sz w:val="32"/>
          <w:szCs w:val="32"/>
          <w:highlight w:val="none"/>
          <w:lang w:val="en-US" w:eastAsia="zh-CN"/>
        </w:rPr>
        <w:t>（二）</w:t>
      </w:r>
      <w:r>
        <w:rPr>
          <w:rFonts w:hint="eastAsia" w:ascii="楷体_GB2312" w:hAnsi="华文仿宋" w:eastAsia="楷体_GB2312" w:cs="仿宋_GB2312"/>
          <w:b/>
          <w:color w:val="auto"/>
          <w:sz w:val="32"/>
          <w:szCs w:val="32"/>
          <w:highlight w:val="none"/>
        </w:rPr>
        <w:t>自评工作过程。</w:t>
      </w:r>
    </w:p>
    <w:p>
      <w:pPr>
        <w:keepNext w:val="0"/>
        <w:keepLines w:val="0"/>
        <w:pageBreakBefore w:val="0"/>
        <w:widowControl/>
        <w:kinsoku/>
        <w:wordWrap/>
        <w:overflowPunct/>
        <w:topLinePunct w:val="0"/>
        <w:autoSpaceDE/>
        <w:autoSpaceDN/>
        <w:bidi w:val="0"/>
        <w:adjustRightInd/>
        <w:snapToGrid/>
        <w:spacing w:line="560" w:lineRule="exact"/>
        <w:ind w:right="0" w:firstLine="643" w:firstLineChars="201"/>
        <w:jc w:val="left"/>
        <w:textAlignment w:val="auto"/>
        <w:rPr>
          <w:rFonts w:hint="eastAsia" w:ascii="仿宋_GB2312" w:hAnsi="仿宋" w:eastAsia="仿宋_GB2312" w:cs="仿宋_GB2312"/>
          <w:color w:val="auto"/>
          <w:sz w:val="32"/>
          <w:szCs w:val="32"/>
          <w:highlight w:val="none"/>
        </w:rPr>
      </w:pPr>
      <w:r>
        <w:rPr>
          <w:rFonts w:hint="eastAsia" w:ascii="仿宋_GB2312" w:hAnsi="宋体" w:eastAsia="仿宋_GB2312" w:cs="仿宋_GB2312"/>
          <w:color w:val="auto"/>
          <w:sz w:val="32"/>
          <w:szCs w:val="32"/>
          <w:highlight w:val="none"/>
          <w:lang w:val="en-US" w:eastAsia="zh-CN"/>
        </w:rPr>
        <w:t>1.</w:t>
      </w:r>
      <w:r>
        <w:rPr>
          <w:rFonts w:hint="eastAsia" w:ascii="仿宋_GB2312" w:hAnsi="宋体" w:eastAsia="仿宋_GB2312" w:cs="仿宋_GB2312"/>
          <w:color w:val="auto"/>
          <w:sz w:val="32"/>
          <w:szCs w:val="32"/>
          <w:highlight w:val="none"/>
        </w:rPr>
        <w:t>成立自评工作领导小组。根据整体绩效自评工作要求，</w:t>
      </w:r>
      <w:r>
        <w:rPr>
          <w:rFonts w:hint="eastAsia" w:ascii="仿宋_GB2312" w:hAnsi="仿宋" w:eastAsia="仿宋_GB2312" w:cs="仿宋_GB2312"/>
          <w:color w:val="auto"/>
          <w:sz w:val="32"/>
          <w:szCs w:val="32"/>
          <w:highlight w:val="none"/>
        </w:rPr>
        <w:t xml:space="preserve"> 我局成立了整体绩效自评工作领导小组，明确了职责分工。</w:t>
      </w:r>
    </w:p>
    <w:p>
      <w:pPr>
        <w:keepNext w:val="0"/>
        <w:keepLines w:val="0"/>
        <w:pageBreakBefore w:val="0"/>
        <w:widowControl/>
        <w:kinsoku/>
        <w:wordWrap/>
        <w:overflowPunct/>
        <w:topLinePunct w:val="0"/>
        <w:autoSpaceDE/>
        <w:autoSpaceDN/>
        <w:bidi w:val="0"/>
        <w:adjustRightInd/>
        <w:snapToGrid/>
        <w:spacing w:line="560" w:lineRule="exact"/>
        <w:ind w:right="0" w:firstLine="643" w:firstLineChars="201"/>
        <w:jc w:val="left"/>
        <w:textAlignment w:val="auto"/>
        <w:rPr>
          <w:rFonts w:hint="eastAsia" w:ascii="仿宋_GB2312" w:hAnsi="宋体" w:eastAsia="仿宋_GB2312" w:cs="仿宋_GB2312"/>
          <w:color w:val="auto"/>
          <w:sz w:val="32"/>
          <w:szCs w:val="32"/>
          <w:highlight w:val="none"/>
        </w:rPr>
      </w:pPr>
      <w:r>
        <w:rPr>
          <w:rFonts w:hint="eastAsia" w:ascii="仿宋_GB2312" w:hAnsi="宋体" w:eastAsia="仿宋_GB2312" w:cs="仿宋_GB2312"/>
          <w:color w:val="auto"/>
          <w:sz w:val="32"/>
          <w:szCs w:val="32"/>
          <w:highlight w:val="none"/>
          <w:lang w:val="en-US" w:eastAsia="zh-CN"/>
        </w:rPr>
        <w:t>2.组织开展</w:t>
      </w:r>
      <w:r>
        <w:rPr>
          <w:rFonts w:hint="eastAsia" w:ascii="仿宋_GB2312" w:hAnsi="宋体" w:eastAsia="仿宋_GB2312" w:cs="仿宋_GB2312"/>
          <w:color w:val="auto"/>
          <w:sz w:val="32"/>
          <w:szCs w:val="32"/>
          <w:highlight w:val="none"/>
        </w:rPr>
        <w:t>绩效自评工作</w:t>
      </w:r>
      <w:r>
        <w:rPr>
          <w:rFonts w:hint="eastAsia" w:ascii="仿宋_GB2312" w:hAnsi="宋体" w:eastAsia="仿宋_GB2312" w:cs="仿宋_GB2312"/>
          <w:color w:val="auto"/>
          <w:sz w:val="32"/>
          <w:szCs w:val="32"/>
          <w:highlight w:val="none"/>
          <w:lang w:eastAsia="zh-CN"/>
        </w:rPr>
        <w:t>。</w:t>
      </w:r>
      <w:r>
        <w:rPr>
          <w:rFonts w:hint="eastAsia" w:ascii="仿宋_GB2312" w:hAnsi="宋体" w:eastAsia="仿宋_GB2312" w:cs="仿宋_GB2312"/>
          <w:color w:val="auto"/>
          <w:sz w:val="32"/>
          <w:szCs w:val="32"/>
          <w:highlight w:val="none"/>
          <w:lang w:val="en-US" w:eastAsia="zh-CN"/>
        </w:rPr>
        <w:t>我局</w:t>
      </w:r>
      <w:r>
        <w:rPr>
          <w:rFonts w:hint="eastAsia" w:ascii="仿宋_GB2312" w:hAnsi="宋体" w:eastAsia="仿宋_GB2312" w:cs="仿宋_GB2312"/>
          <w:color w:val="auto"/>
          <w:sz w:val="32"/>
          <w:szCs w:val="32"/>
          <w:highlight w:val="none"/>
          <w:lang w:eastAsia="zh-CN"/>
        </w:rPr>
        <w:t>组织实施本级整体支出绩效自评及组织下属单位实施整体支出绩效自评，</w:t>
      </w:r>
      <w:r>
        <w:rPr>
          <w:rFonts w:hint="eastAsia" w:ascii="仿宋_GB2312" w:hAnsi="宋体" w:eastAsia="仿宋_GB2312" w:cs="仿宋_GB2312"/>
          <w:color w:val="auto"/>
          <w:sz w:val="32"/>
          <w:szCs w:val="32"/>
          <w:highlight w:val="none"/>
        </w:rPr>
        <w:t>根据分工和自评评分表对本级开展自评，认真研读自评文件，了解掌握</w:t>
      </w:r>
      <w:r>
        <w:rPr>
          <w:rFonts w:hint="eastAsia" w:ascii="仿宋_GB2312" w:hAnsi="仿宋" w:eastAsia="仿宋_GB2312" w:cs="仿宋_GB2312"/>
          <w:color w:val="auto"/>
          <w:sz w:val="32"/>
          <w:szCs w:val="32"/>
          <w:highlight w:val="none"/>
          <w:lang w:eastAsia="zh-CN"/>
        </w:rPr>
        <w:t>绩效</w:t>
      </w:r>
      <w:r>
        <w:rPr>
          <w:rFonts w:hint="eastAsia" w:ascii="仿宋_GB2312" w:hAnsi="仿宋" w:eastAsia="仿宋_GB2312" w:cs="仿宋_GB2312"/>
          <w:color w:val="auto"/>
          <w:sz w:val="32"/>
          <w:szCs w:val="32"/>
          <w:highlight w:val="none"/>
        </w:rPr>
        <w:t>自评</w:t>
      </w:r>
      <w:r>
        <w:rPr>
          <w:rFonts w:hint="eastAsia" w:ascii="仿宋_GB2312" w:hAnsi="仿宋" w:eastAsia="仿宋_GB2312" w:cs="仿宋_GB2312"/>
          <w:color w:val="auto"/>
          <w:sz w:val="32"/>
          <w:szCs w:val="32"/>
          <w:highlight w:val="none"/>
          <w:lang w:eastAsia="zh-CN"/>
        </w:rPr>
        <w:t>指标</w:t>
      </w:r>
      <w:r>
        <w:rPr>
          <w:rFonts w:hint="eastAsia" w:ascii="仿宋_GB2312" w:hAnsi="仿宋" w:eastAsia="仿宋_GB2312" w:cs="仿宋_GB2312"/>
          <w:color w:val="auto"/>
          <w:sz w:val="32"/>
          <w:szCs w:val="32"/>
          <w:highlight w:val="none"/>
        </w:rPr>
        <w:t>评分表</w:t>
      </w:r>
      <w:r>
        <w:rPr>
          <w:rFonts w:hint="eastAsia" w:ascii="仿宋_GB2312" w:hAnsi="宋体" w:eastAsia="仿宋_GB2312" w:cs="仿宋_GB2312"/>
          <w:color w:val="auto"/>
          <w:sz w:val="32"/>
          <w:szCs w:val="32"/>
          <w:highlight w:val="none"/>
        </w:rPr>
        <w:t>、自评报告填报要求，协调有关业务科室提供预算收支数据及文件，参照整体绩效自评指标评分表的评分标准中每一项内容进行评价。</w:t>
      </w:r>
    </w:p>
    <w:p>
      <w:pPr>
        <w:keepNext w:val="0"/>
        <w:keepLines w:val="0"/>
        <w:pageBreakBefore w:val="0"/>
        <w:widowControl/>
        <w:kinsoku/>
        <w:wordWrap/>
        <w:overflowPunct/>
        <w:topLinePunct w:val="0"/>
        <w:autoSpaceDE/>
        <w:autoSpaceDN/>
        <w:bidi w:val="0"/>
        <w:adjustRightInd/>
        <w:snapToGrid/>
        <w:spacing w:line="560" w:lineRule="exact"/>
        <w:ind w:right="0" w:firstLine="643" w:firstLineChars="201"/>
        <w:jc w:val="left"/>
        <w:textAlignment w:val="auto"/>
        <w:rPr>
          <w:rFonts w:hint="eastAsia" w:ascii="仿宋_GB2312" w:hAnsi="宋体" w:eastAsia="仿宋_GB2312" w:cs="仿宋_GB2312"/>
          <w:color w:val="auto"/>
          <w:sz w:val="32"/>
          <w:szCs w:val="32"/>
          <w:highlight w:val="none"/>
        </w:rPr>
      </w:pPr>
      <w:r>
        <w:rPr>
          <w:rFonts w:hint="eastAsia" w:ascii="仿宋_GB2312" w:hAnsi="宋体" w:eastAsia="仿宋_GB2312" w:cs="仿宋_GB2312"/>
          <w:color w:val="auto"/>
          <w:sz w:val="32"/>
          <w:szCs w:val="32"/>
          <w:highlight w:val="none"/>
          <w:lang w:val="en-US" w:eastAsia="zh-CN"/>
        </w:rPr>
        <w:t>3.</w:t>
      </w:r>
      <w:r>
        <w:rPr>
          <w:rFonts w:hint="eastAsia" w:ascii="仿宋_GB2312" w:hAnsi="宋体" w:eastAsia="仿宋_GB2312" w:cs="仿宋_GB2312"/>
          <w:color w:val="auto"/>
          <w:sz w:val="32"/>
          <w:szCs w:val="32"/>
          <w:highlight w:val="none"/>
        </w:rPr>
        <w:t>形成自评材料。在前期自评工作基础上，</w:t>
      </w:r>
      <w:r>
        <w:rPr>
          <w:rFonts w:hint="eastAsia" w:ascii="仿宋_GB2312" w:hAnsi="仿宋" w:eastAsia="仿宋_GB2312" w:cs="仿宋_GB2312"/>
          <w:color w:val="auto"/>
          <w:sz w:val="32"/>
          <w:szCs w:val="32"/>
          <w:highlight w:val="none"/>
        </w:rPr>
        <w:t>通过查阅、核实账务及有关资料，填写</w:t>
      </w:r>
      <w:r>
        <w:rPr>
          <w:rFonts w:hint="eastAsia" w:ascii="仿宋_GB2312" w:hAnsi="仿宋" w:eastAsia="仿宋_GB2312" w:cs="仿宋_GB2312"/>
          <w:color w:val="auto"/>
          <w:sz w:val="32"/>
          <w:szCs w:val="32"/>
          <w:highlight w:val="none"/>
          <w:lang w:eastAsia="zh-CN"/>
        </w:rPr>
        <w:t>绩效</w:t>
      </w:r>
      <w:r>
        <w:rPr>
          <w:rFonts w:hint="eastAsia" w:ascii="仿宋_GB2312" w:hAnsi="仿宋" w:eastAsia="仿宋_GB2312" w:cs="仿宋_GB2312"/>
          <w:color w:val="auto"/>
          <w:sz w:val="32"/>
          <w:szCs w:val="32"/>
          <w:highlight w:val="none"/>
        </w:rPr>
        <w:t>自评</w:t>
      </w:r>
      <w:r>
        <w:rPr>
          <w:rFonts w:hint="eastAsia" w:ascii="仿宋_GB2312" w:hAnsi="仿宋" w:eastAsia="仿宋_GB2312" w:cs="仿宋_GB2312"/>
          <w:color w:val="auto"/>
          <w:sz w:val="32"/>
          <w:szCs w:val="32"/>
          <w:highlight w:val="none"/>
          <w:lang w:eastAsia="zh-CN"/>
        </w:rPr>
        <w:t>指标</w:t>
      </w:r>
      <w:r>
        <w:rPr>
          <w:rFonts w:hint="eastAsia" w:ascii="仿宋_GB2312" w:hAnsi="仿宋" w:eastAsia="仿宋_GB2312" w:cs="仿宋_GB2312"/>
          <w:color w:val="auto"/>
          <w:sz w:val="32"/>
          <w:szCs w:val="32"/>
          <w:highlight w:val="none"/>
        </w:rPr>
        <w:t>评分表。以预算执行情况为基础，采取定性和定量分析相结合方式，</w:t>
      </w:r>
      <w:r>
        <w:rPr>
          <w:rFonts w:hint="eastAsia" w:ascii="仿宋_GB2312" w:hAnsi="宋体" w:eastAsia="仿宋_GB2312" w:cs="仿宋_GB2312"/>
          <w:color w:val="auto"/>
          <w:sz w:val="32"/>
          <w:szCs w:val="32"/>
          <w:highlight w:val="none"/>
        </w:rPr>
        <w:t>深入</w:t>
      </w:r>
      <w:r>
        <w:rPr>
          <w:rFonts w:hint="eastAsia" w:ascii="仿宋_GB2312" w:hAnsi="宋体" w:eastAsia="仿宋_GB2312" w:cs="仿宋_GB2312"/>
          <w:color w:val="auto"/>
          <w:sz w:val="32"/>
          <w:szCs w:val="32"/>
          <w:highlight w:val="none"/>
          <w:lang w:eastAsia="zh-CN"/>
        </w:rPr>
        <w:t>详</w:t>
      </w:r>
      <w:r>
        <w:rPr>
          <w:rFonts w:hint="eastAsia" w:ascii="仿宋_GB2312" w:hAnsi="宋体" w:eastAsia="仿宋_GB2312" w:cs="仿宋_GB2312"/>
          <w:color w:val="auto"/>
          <w:sz w:val="32"/>
          <w:szCs w:val="32"/>
          <w:highlight w:val="none"/>
        </w:rPr>
        <w:t>实地分析部门整体支出绩效产出情况。</w:t>
      </w:r>
    </w:p>
    <w:p>
      <w:pPr>
        <w:keepNext w:val="0"/>
        <w:keepLines w:val="0"/>
        <w:pageBreakBefore w:val="0"/>
        <w:widowControl/>
        <w:numPr>
          <w:ilvl w:val="0"/>
          <w:numId w:val="0"/>
        </w:numPr>
        <w:kinsoku/>
        <w:wordWrap/>
        <w:overflowPunct/>
        <w:topLinePunct w:val="0"/>
        <w:autoSpaceDE/>
        <w:autoSpaceDN/>
        <w:bidi w:val="0"/>
        <w:adjustRightInd/>
        <w:spacing w:line="560" w:lineRule="exact"/>
        <w:ind w:leftChars="201" w:right="150" w:rightChars="0" w:firstLine="321" w:firstLineChars="100"/>
        <w:jc w:val="left"/>
        <w:textAlignment w:val="auto"/>
        <w:rPr>
          <w:rFonts w:hint="eastAsia" w:ascii="楷体_GB2312" w:hAnsi="华文仿宋" w:eastAsia="楷体_GB2312" w:cs="仿宋_GB2312"/>
          <w:b/>
          <w:color w:val="auto"/>
          <w:sz w:val="32"/>
          <w:szCs w:val="32"/>
          <w:highlight w:val="none"/>
        </w:rPr>
      </w:pPr>
      <w:r>
        <w:rPr>
          <w:rFonts w:hint="eastAsia" w:ascii="楷体_GB2312" w:hAnsi="华文仿宋" w:eastAsia="楷体_GB2312" w:cs="仿宋_GB2312"/>
          <w:b/>
          <w:color w:val="auto"/>
          <w:sz w:val="32"/>
          <w:szCs w:val="32"/>
          <w:highlight w:val="none"/>
          <w:lang w:eastAsia="zh-CN"/>
        </w:rPr>
        <w:t>（</w:t>
      </w:r>
      <w:r>
        <w:rPr>
          <w:rFonts w:hint="eastAsia" w:ascii="楷体_GB2312" w:hAnsi="华文仿宋" w:eastAsia="楷体_GB2312" w:cs="仿宋_GB2312"/>
          <w:b/>
          <w:color w:val="auto"/>
          <w:sz w:val="32"/>
          <w:szCs w:val="32"/>
          <w:highlight w:val="none"/>
          <w:lang w:val="en-US" w:eastAsia="zh-CN"/>
        </w:rPr>
        <w:t>三</w:t>
      </w:r>
      <w:r>
        <w:rPr>
          <w:rFonts w:hint="eastAsia" w:ascii="楷体_GB2312" w:hAnsi="华文仿宋" w:eastAsia="楷体_GB2312" w:cs="仿宋_GB2312"/>
          <w:b/>
          <w:color w:val="auto"/>
          <w:sz w:val="32"/>
          <w:szCs w:val="32"/>
          <w:highlight w:val="none"/>
          <w:lang w:eastAsia="zh-CN"/>
        </w:rPr>
        <w:t>）</w:t>
      </w:r>
      <w:r>
        <w:rPr>
          <w:rFonts w:hint="eastAsia" w:ascii="楷体_GB2312" w:hAnsi="华文仿宋" w:eastAsia="楷体_GB2312" w:cs="仿宋_GB2312"/>
          <w:b/>
          <w:color w:val="auto"/>
          <w:sz w:val="32"/>
          <w:szCs w:val="32"/>
          <w:highlight w:val="none"/>
        </w:rPr>
        <w:t>自评材料报送时间及质量</w:t>
      </w:r>
      <w:r>
        <w:rPr>
          <w:rFonts w:hint="eastAsia" w:ascii="楷体_GB2312" w:hAnsi="华文仿宋" w:eastAsia="楷体_GB2312" w:cs="仿宋_GB2312"/>
          <w:b/>
          <w:color w:val="auto"/>
          <w:sz w:val="32"/>
          <w:szCs w:val="32"/>
          <w:highlight w:val="none"/>
          <w:lang w:eastAsia="zh-CN"/>
        </w:rPr>
        <w:t>。</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楷体_GB2312" w:hAnsi="华文仿宋" w:eastAsia="楷体_GB2312" w:cs="仿宋_GB2312"/>
          <w:b/>
          <w:color w:val="auto"/>
          <w:sz w:val="32"/>
          <w:szCs w:val="32"/>
          <w:highlight w:val="none"/>
          <w:lang w:val="en-US" w:eastAsia="zh-CN"/>
        </w:rPr>
      </w:pPr>
      <w:r>
        <w:rPr>
          <w:rFonts w:hint="eastAsia" w:ascii="仿宋_GB2312" w:hAnsi="华文仿宋" w:eastAsia="仿宋_GB2312" w:cs="仿宋_GB2312"/>
          <w:color w:val="auto"/>
          <w:sz w:val="32"/>
          <w:szCs w:val="32"/>
          <w:highlight w:val="none"/>
          <w:lang w:val="en-US" w:eastAsia="zh-CN"/>
        </w:rPr>
        <w:t>根据市财政局报送要求，我局于2026年7月17日前按要求将部门整体绩效自评相关材料报送。我局对所报送自评材料真实性、完整性、一致性、规范性负责。</w:t>
      </w:r>
    </w:p>
    <w:p>
      <w:pPr>
        <w:keepNext w:val="0"/>
        <w:keepLines w:val="0"/>
        <w:pageBreakBefore w:val="0"/>
        <w:widowControl/>
        <w:numPr>
          <w:ilvl w:val="0"/>
          <w:numId w:val="0"/>
        </w:numPr>
        <w:kinsoku/>
        <w:wordWrap/>
        <w:overflowPunct/>
        <w:topLinePunct w:val="0"/>
        <w:autoSpaceDE/>
        <w:autoSpaceDN/>
        <w:bidi w:val="0"/>
        <w:adjustRightInd/>
        <w:spacing w:line="560" w:lineRule="exact"/>
        <w:ind w:leftChars="201" w:right="150" w:rightChars="0" w:firstLine="321" w:firstLineChars="100"/>
        <w:jc w:val="left"/>
        <w:textAlignment w:val="auto"/>
        <w:rPr>
          <w:rFonts w:hint="eastAsia" w:ascii="楷体_GB2312" w:hAnsi="华文仿宋" w:eastAsia="楷体_GB2312" w:cs="仿宋_GB2312"/>
          <w:b/>
          <w:color w:val="auto"/>
          <w:sz w:val="32"/>
          <w:szCs w:val="32"/>
          <w:highlight w:val="none"/>
        </w:rPr>
      </w:pPr>
      <w:r>
        <w:rPr>
          <w:rFonts w:hint="eastAsia" w:ascii="楷体_GB2312" w:hAnsi="华文仿宋" w:eastAsia="楷体_GB2312" w:cs="仿宋_GB2312"/>
          <w:b/>
          <w:color w:val="auto"/>
          <w:sz w:val="32"/>
          <w:szCs w:val="32"/>
          <w:highlight w:val="none"/>
          <w:lang w:eastAsia="zh-CN"/>
        </w:rPr>
        <w:t>（</w:t>
      </w:r>
      <w:r>
        <w:rPr>
          <w:rFonts w:hint="eastAsia" w:ascii="楷体_GB2312" w:hAnsi="华文仿宋" w:eastAsia="楷体_GB2312" w:cs="仿宋_GB2312"/>
          <w:b/>
          <w:color w:val="auto"/>
          <w:sz w:val="32"/>
          <w:szCs w:val="32"/>
          <w:highlight w:val="none"/>
          <w:lang w:val="en-US" w:eastAsia="zh-CN"/>
        </w:rPr>
        <w:t>四</w:t>
      </w:r>
      <w:r>
        <w:rPr>
          <w:rFonts w:hint="eastAsia" w:ascii="楷体_GB2312" w:hAnsi="华文仿宋" w:eastAsia="楷体_GB2312" w:cs="仿宋_GB2312"/>
          <w:b/>
          <w:color w:val="auto"/>
          <w:sz w:val="32"/>
          <w:szCs w:val="32"/>
          <w:highlight w:val="none"/>
          <w:lang w:eastAsia="zh-CN"/>
        </w:rPr>
        <w:t>）</w:t>
      </w:r>
      <w:r>
        <w:rPr>
          <w:rFonts w:hint="eastAsia" w:ascii="楷体_GB2312" w:hAnsi="华文仿宋" w:eastAsia="楷体_GB2312" w:cs="仿宋_GB2312"/>
          <w:b/>
          <w:color w:val="auto"/>
          <w:sz w:val="32"/>
          <w:szCs w:val="32"/>
          <w:highlight w:val="none"/>
        </w:rPr>
        <w:t>自评材料报送及公开一致情况。</w:t>
      </w:r>
    </w:p>
    <w:p>
      <w:pPr>
        <w:keepNext w:val="0"/>
        <w:keepLines w:val="0"/>
        <w:pageBreakBefore w:val="0"/>
        <w:widowControl/>
        <w:numPr>
          <w:ilvl w:val="0"/>
          <w:numId w:val="0"/>
        </w:numPr>
        <w:kinsoku/>
        <w:wordWrap/>
        <w:overflowPunct/>
        <w:topLinePunct w:val="0"/>
        <w:autoSpaceDE/>
        <w:autoSpaceDN/>
        <w:bidi w:val="0"/>
        <w:adjustRightInd/>
        <w:spacing w:line="560" w:lineRule="exact"/>
        <w:ind w:right="150" w:rightChars="0" w:firstLine="640" w:firstLineChars="200"/>
        <w:jc w:val="left"/>
        <w:textAlignment w:val="auto"/>
        <w:rPr>
          <w:rFonts w:hint="eastAsia" w:ascii="仿宋_GB2312" w:hAnsi="宋体" w:eastAsia="仿宋_GB2312" w:cs="仿宋_GB2312"/>
          <w:color w:val="auto"/>
          <w:sz w:val="32"/>
          <w:szCs w:val="32"/>
          <w:highlight w:val="none"/>
        </w:rPr>
      </w:pPr>
      <w:r>
        <w:rPr>
          <w:rFonts w:hint="eastAsia" w:ascii="仿宋_GB2312" w:hAnsi="宋体" w:eastAsia="仿宋_GB2312" w:cs="仿宋_GB2312"/>
          <w:color w:val="auto"/>
          <w:sz w:val="32"/>
          <w:szCs w:val="32"/>
          <w:highlight w:val="none"/>
          <w:lang w:eastAsia="zh-CN"/>
        </w:rPr>
        <w:t>我局</w:t>
      </w:r>
      <w:r>
        <w:rPr>
          <w:rFonts w:hint="eastAsia" w:ascii="仿宋_GB2312" w:hAnsi="宋体" w:eastAsia="仿宋_GB2312" w:cs="仿宋_GB2312"/>
          <w:color w:val="auto"/>
          <w:sz w:val="32"/>
          <w:szCs w:val="32"/>
          <w:highlight w:val="none"/>
        </w:rPr>
        <w:t>所报送</w:t>
      </w:r>
      <w:r>
        <w:rPr>
          <w:rFonts w:hint="eastAsia" w:ascii="仿宋_GB2312" w:hAnsi="华文仿宋" w:eastAsia="仿宋_GB2312" w:cs="仿宋_GB2312"/>
          <w:color w:val="auto"/>
          <w:sz w:val="32"/>
          <w:szCs w:val="32"/>
          <w:highlight w:val="none"/>
          <w:lang w:val="en-US" w:eastAsia="zh-CN"/>
        </w:rPr>
        <w:t>部门整体绩效自评相关材料</w:t>
      </w:r>
      <w:r>
        <w:rPr>
          <w:rFonts w:hint="eastAsia" w:ascii="仿宋_GB2312" w:hAnsi="宋体" w:eastAsia="仿宋_GB2312" w:cs="仿宋_GB2312"/>
          <w:color w:val="auto"/>
          <w:sz w:val="32"/>
          <w:szCs w:val="32"/>
          <w:highlight w:val="none"/>
        </w:rPr>
        <w:t>与公开的</w:t>
      </w:r>
      <w:r>
        <w:rPr>
          <w:rFonts w:hint="eastAsia" w:ascii="仿宋_GB2312" w:hAnsi="华文仿宋" w:eastAsia="仿宋_GB2312" w:cs="仿宋_GB2312"/>
          <w:color w:val="auto"/>
          <w:sz w:val="32"/>
          <w:szCs w:val="32"/>
          <w:highlight w:val="none"/>
          <w:lang w:val="en-US" w:eastAsia="zh-CN"/>
        </w:rPr>
        <w:t>部门整体绩效自评相关材料</w:t>
      </w:r>
      <w:r>
        <w:rPr>
          <w:rFonts w:hint="eastAsia" w:ascii="仿宋_GB2312" w:hAnsi="宋体" w:eastAsia="仿宋_GB2312" w:cs="仿宋_GB2312"/>
          <w:color w:val="auto"/>
          <w:sz w:val="32"/>
          <w:szCs w:val="32"/>
          <w:highlight w:val="none"/>
        </w:rPr>
        <w:t>一致。</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三、绩效自评情况</w:t>
      </w:r>
    </w:p>
    <w:p>
      <w:pPr>
        <w:keepNext w:val="0"/>
        <w:keepLines w:val="0"/>
        <w:pageBreakBefore w:val="0"/>
        <w:kinsoku/>
        <w:wordWrap/>
        <w:overflowPunct/>
        <w:topLinePunct w:val="0"/>
        <w:autoSpaceDE/>
        <w:autoSpaceDN/>
        <w:bidi w:val="0"/>
        <w:adjustRightInd/>
        <w:snapToGrid w:val="0"/>
        <w:spacing w:line="560" w:lineRule="exact"/>
        <w:ind w:firstLine="643" w:firstLineChars="200"/>
        <w:textAlignment w:val="auto"/>
        <w:rPr>
          <w:rFonts w:hint="eastAsia" w:ascii="楷体_GB2312" w:hAnsi="楷体_GB2312" w:eastAsia="楷体_GB2312" w:cs="楷体_GB2312"/>
          <w:b/>
          <w:bCs/>
          <w:color w:val="auto"/>
          <w:sz w:val="32"/>
          <w:szCs w:val="32"/>
          <w:highlight w:val="none"/>
        </w:rPr>
      </w:pPr>
      <w:r>
        <w:rPr>
          <w:rFonts w:hint="eastAsia" w:ascii="楷体_GB2312" w:hAnsi="楷体_GB2312" w:eastAsia="楷体_GB2312" w:cs="楷体_GB2312"/>
          <w:b/>
          <w:bCs/>
          <w:color w:val="auto"/>
          <w:sz w:val="32"/>
          <w:szCs w:val="32"/>
          <w:highlight w:val="none"/>
        </w:rPr>
        <w:t>（一）自评结果</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lang w:eastAsia="zh-CN"/>
        </w:rPr>
        <w:t>根据年度整体支出绩效目标。我局严格按照文件评分表的评分标准，逐条逐项评分。经综合评分，得分为</w:t>
      </w:r>
      <w:r>
        <w:rPr>
          <w:rFonts w:hint="eastAsia" w:ascii="仿宋_GB2312" w:hAnsi="仿宋_GB2312" w:eastAsia="仿宋_GB2312" w:cs="仿宋_GB2312"/>
          <w:color w:val="auto"/>
          <w:kern w:val="0"/>
          <w:sz w:val="32"/>
          <w:szCs w:val="32"/>
          <w:highlight w:val="none"/>
          <w:lang w:val="en-US" w:eastAsia="zh-CN"/>
        </w:rPr>
        <w:t>99</w:t>
      </w:r>
      <w:r>
        <w:rPr>
          <w:rFonts w:hint="eastAsia" w:ascii="仿宋_GB2312" w:hAnsi="仿宋_GB2312" w:eastAsia="仿宋_GB2312" w:cs="仿宋_GB2312"/>
          <w:color w:val="auto"/>
          <w:kern w:val="0"/>
          <w:sz w:val="32"/>
          <w:szCs w:val="32"/>
          <w:highlight w:val="none"/>
          <w:lang w:eastAsia="zh-CN"/>
        </w:rPr>
        <w:t>分，等级为优秀。</w:t>
      </w:r>
    </w:p>
    <w:p>
      <w:pPr>
        <w:keepNext w:val="0"/>
        <w:keepLines w:val="0"/>
        <w:pageBreakBefore w:val="0"/>
        <w:numPr>
          <w:ilvl w:val="0"/>
          <w:numId w:val="0"/>
        </w:numPr>
        <w:kinsoku/>
        <w:wordWrap/>
        <w:overflowPunct/>
        <w:topLinePunct w:val="0"/>
        <w:autoSpaceDE/>
        <w:autoSpaceDN/>
        <w:bidi w:val="0"/>
        <w:adjustRightInd/>
        <w:snapToGrid w:val="0"/>
        <w:spacing w:line="560" w:lineRule="exact"/>
        <w:ind w:firstLine="643" w:firstLineChars="200"/>
        <w:textAlignment w:val="auto"/>
        <w:rPr>
          <w:rFonts w:hint="eastAsia" w:ascii="仿宋_GB2312" w:hAnsi="华文仿宋" w:eastAsia="仿宋_GB2312" w:cs="仿宋_GB2312"/>
          <w:color w:val="auto"/>
          <w:sz w:val="32"/>
          <w:szCs w:val="32"/>
          <w:highlight w:val="none"/>
        </w:rPr>
      </w:pPr>
      <w:r>
        <w:rPr>
          <w:rFonts w:hint="eastAsia" w:ascii="楷体_GB2312" w:hAnsi="楷体_GB2312" w:eastAsia="楷体_GB2312" w:cs="楷体_GB2312"/>
          <w:b/>
          <w:bCs/>
          <w:color w:val="auto"/>
          <w:sz w:val="32"/>
          <w:szCs w:val="32"/>
          <w:highlight w:val="none"/>
          <w:lang w:eastAsia="zh-CN"/>
        </w:rPr>
        <w:t>（二）</w:t>
      </w:r>
      <w:r>
        <w:rPr>
          <w:rFonts w:hint="eastAsia" w:ascii="楷体_GB2312" w:hAnsi="楷体_GB2312" w:eastAsia="楷体_GB2312" w:cs="楷体_GB2312"/>
          <w:b/>
          <w:bCs/>
          <w:color w:val="auto"/>
          <w:sz w:val="32"/>
          <w:szCs w:val="32"/>
          <w:highlight w:val="none"/>
        </w:rPr>
        <w:t>部门整体支出绩效指标分析</w:t>
      </w:r>
    </w:p>
    <w:p>
      <w:pPr>
        <w:keepNext w:val="0"/>
        <w:keepLines w:val="0"/>
        <w:pageBreakBefore w:val="0"/>
        <w:kinsoku/>
        <w:wordWrap/>
        <w:overflowPunct/>
        <w:topLinePunct w:val="0"/>
        <w:autoSpaceDE/>
        <w:autoSpaceDN/>
        <w:bidi w:val="0"/>
        <w:adjustRightInd/>
        <w:snapToGrid w:val="0"/>
        <w:spacing w:line="560" w:lineRule="exact"/>
        <w:ind w:firstLine="643" w:firstLineChars="200"/>
        <w:textAlignment w:val="auto"/>
        <w:rPr>
          <w:rFonts w:hint="eastAsia" w:ascii="楷体_GB2312" w:hAnsi="楷体_GB2312" w:eastAsia="楷体_GB2312" w:cs="楷体_GB2312"/>
          <w:b/>
          <w:bCs/>
          <w:color w:val="auto"/>
          <w:sz w:val="32"/>
          <w:szCs w:val="32"/>
          <w:highlight w:val="none"/>
        </w:rPr>
      </w:pPr>
      <w:r>
        <w:rPr>
          <w:rFonts w:hint="eastAsia" w:ascii="楷体_GB2312" w:hAnsi="楷体_GB2312" w:eastAsia="楷体_GB2312" w:cs="楷体_GB2312"/>
          <w:b/>
          <w:bCs/>
          <w:color w:val="auto"/>
          <w:sz w:val="32"/>
          <w:szCs w:val="32"/>
          <w:highlight w:val="none"/>
          <w:lang w:val="en-US" w:eastAsia="zh-CN"/>
        </w:rPr>
        <w:t>1.</w:t>
      </w:r>
      <w:r>
        <w:rPr>
          <w:rFonts w:hint="eastAsia" w:ascii="楷体_GB2312" w:hAnsi="楷体_GB2312" w:eastAsia="楷体_GB2312" w:cs="楷体_GB2312"/>
          <w:b/>
          <w:bCs/>
          <w:color w:val="auto"/>
          <w:sz w:val="32"/>
          <w:szCs w:val="32"/>
          <w:highlight w:val="none"/>
          <w:lang w:eastAsia="zh-CN"/>
        </w:rPr>
        <w:t>整体效能</w:t>
      </w:r>
    </w:p>
    <w:p>
      <w:pPr>
        <w:pStyle w:val="4"/>
        <w:ind w:firstLine="640" w:firstLineChars="200"/>
        <w:rPr>
          <w:rFonts w:hint="eastAsia" w:ascii="Times New Roman" w:hAnsi="Times New Roman" w:eastAsia="仿宋_GB2312" w:cs="Times New Roman"/>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包括部门整体绩效目标产出指标、部门整体绩效目标效益指标，部门预算资金支出率</w:t>
      </w:r>
      <w:r>
        <w:rPr>
          <w:rFonts w:hint="eastAsia" w:ascii="Times New Roman" w:hAnsi="Times New Roman" w:eastAsia="仿宋_GB2312" w:cs="Times New Roman"/>
          <w:color w:val="auto"/>
          <w:sz w:val="32"/>
          <w:szCs w:val="32"/>
          <w:highlight w:val="none"/>
          <w:lang w:val="en-US" w:eastAsia="zh-CN"/>
        </w:rPr>
        <w:t>。</w:t>
      </w:r>
    </w:p>
    <w:p>
      <w:pPr>
        <w:pStyle w:val="4"/>
        <w:ind w:firstLine="640" w:firstLineChars="200"/>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①部门整体绩效目标产出指标。部门产出绩效主要体现为绩效目标的实现程度，部门的履职情况，包括部门整体支出的经济性（经费控制情况）、效率性（工作完成率、完成及时性、市委、市政府重点工作的完成情况），我局按要求完成2025年市委、市政府交办的工作。2025年，在局班子的坚强领导下，全体干部职工齐心协力，按时按质完成了市委、市政府交办的各项重点工作。</w:t>
      </w:r>
    </w:p>
    <w:p>
      <w:pPr>
        <w:pStyle w:val="4"/>
        <w:ind w:firstLine="640" w:firstLineChars="200"/>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②部门整体绩效目标效益指标。从部门履职效果性（社会、经济、生态方面的效益）、公平性（服务对象满意度）和部门工作受到表彰或批评问责的情况反映情况，存在未开展服务对象满意度的调查工作，酌情扣1分。</w:t>
      </w:r>
    </w:p>
    <w:p>
      <w:pPr>
        <w:pStyle w:val="4"/>
        <w:ind w:firstLine="640" w:firstLineChars="200"/>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③</w:t>
      </w:r>
      <w:r>
        <w:rPr>
          <w:rFonts w:hint="eastAsia" w:ascii="仿宋_GB2312" w:hAnsi="仿宋_GB2312" w:eastAsia="仿宋_GB2312" w:cs="仿宋_GB2312"/>
          <w:color w:val="auto"/>
          <w:sz w:val="32"/>
          <w:szCs w:val="32"/>
          <w:highlight w:val="none"/>
          <w:lang w:val="en-US" w:eastAsia="zh-CN"/>
        </w:rPr>
        <w:t>部门预算资金支出率。预算资金支出率=部门(单位）年度实际支出39523.66万元/财政下达预算数39523.66万元×100%。</w:t>
      </w:r>
    </w:p>
    <w:p>
      <w:pPr>
        <w:keepNext w:val="0"/>
        <w:keepLines w:val="0"/>
        <w:pageBreakBefore w:val="0"/>
        <w:kinsoku/>
        <w:wordWrap/>
        <w:overflowPunct/>
        <w:topLinePunct w:val="0"/>
        <w:autoSpaceDE/>
        <w:autoSpaceDN/>
        <w:bidi w:val="0"/>
        <w:adjustRightInd/>
        <w:snapToGrid w:val="0"/>
        <w:spacing w:line="560" w:lineRule="exact"/>
        <w:ind w:firstLine="643" w:firstLineChars="200"/>
        <w:textAlignment w:val="auto"/>
        <w:rPr>
          <w:rFonts w:hint="default"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2.预算编制</w:t>
      </w:r>
    </w:p>
    <w:p>
      <w:pPr>
        <w:pStyle w:val="4"/>
        <w:ind w:firstLine="640" w:firstLineChars="200"/>
        <w:rPr>
          <w:rFonts w:hint="eastAsia" w:ascii="楷体_GB2312" w:hAnsi="楷体_GB2312" w:eastAsia="楷体_GB2312" w:cs="楷体_GB2312"/>
          <w:b/>
          <w:bCs/>
          <w:color w:val="auto"/>
          <w:sz w:val="32"/>
          <w:szCs w:val="32"/>
          <w:highlight w:val="none"/>
        </w:rPr>
      </w:pPr>
      <w:r>
        <w:rPr>
          <w:rFonts w:hint="eastAsia" w:ascii="仿宋_GB2312" w:hAnsi="仿宋_GB2312" w:eastAsia="仿宋_GB2312" w:cs="仿宋_GB2312"/>
          <w:b w:val="0"/>
          <w:bCs w:val="0"/>
          <w:color w:val="auto"/>
          <w:kern w:val="0"/>
          <w:sz w:val="32"/>
          <w:szCs w:val="32"/>
          <w:highlight w:val="none"/>
          <w:lang w:val="en-US" w:eastAsia="zh-CN"/>
        </w:rPr>
        <w:t>我局预算编制能综合考虑本市财政经济状况及财政承受能力，坚持稳妥可靠、量入为出、保重点项目、统筹兼顾原则，结合上年预算收支情况，深入研究确定本年各项预算收支情况，科学合理地编实编细年度预算，合理性较强。编制符合《预算法》和国家其他法律、法规相关规定，充分体现国家有关方针、政策，并在法律赋予部门的职能范围内编制。能坚持“合法性、真实性、稳妥性”的原则编制预算，做到编制收支合法合规，收支平衡，基本支出收支预算经过认真测算，各项收支数据真实准确。根据相关文件，年初将项目支出预算按要求细化到具体执行项目，并按要求做实做细部门项目库工作，及时储备到市级部门项目库。根据要求对申请新增预算的入库项目应开展事前绩效评估工作，本年度无新增预算的需事前绩效评估入库项目。</w:t>
      </w:r>
      <w:r>
        <w:rPr>
          <w:rFonts w:hint="eastAsia" w:ascii="Times New Roman" w:hAnsi="Times New Roman" w:eastAsia="仿宋_GB2312" w:cs="Times New Roman"/>
          <w:color w:val="auto"/>
          <w:sz w:val="32"/>
          <w:szCs w:val="32"/>
          <w:highlight w:val="none"/>
          <w:lang w:val="en-US" w:eastAsia="zh-CN"/>
        </w:rPr>
        <w:t>该预算编制指标总分2分，得2分，占比100%。</w:t>
      </w:r>
    </w:p>
    <w:p>
      <w:pPr>
        <w:keepNext w:val="0"/>
        <w:keepLines w:val="0"/>
        <w:pageBreakBefore w:val="0"/>
        <w:kinsoku/>
        <w:wordWrap/>
        <w:overflowPunct/>
        <w:topLinePunct w:val="0"/>
        <w:autoSpaceDE/>
        <w:autoSpaceDN/>
        <w:bidi w:val="0"/>
        <w:adjustRightInd/>
        <w:snapToGrid w:val="0"/>
        <w:spacing w:line="560" w:lineRule="exact"/>
        <w:ind w:firstLine="643" w:firstLineChars="200"/>
        <w:textAlignment w:val="auto"/>
        <w:rPr>
          <w:rFonts w:hint="default"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3.预算执行</w:t>
      </w:r>
    </w:p>
    <w:p>
      <w:pPr>
        <w:keepNext w:val="0"/>
        <w:keepLines w:val="0"/>
        <w:pageBreakBefore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default"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我局预算执行能坚持“合法性、真实性、稳妥性”的原则编制预算，做到编制收支合法合规，收支平衡，</w:t>
      </w:r>
      <w:r>
        <w:rPr>
          <w:rFonts w:hint="eastAsia" w:ascii="仿宋_GB2312" w:hAnsi="仿宋_GB2312" w:eastAsia="仿宋_GB2312" w:cs="仿宋_GB2312"/>
          <w:bCs/>
          <w:color w:val="auto"/>
          <w:kern w:val="0"/>
          <w:sz w:val="32"/>
          <w:szCs w:val="32"/>
          <w:highlight w:val="none"/>
        </w:rPr>
        <w:t>按照关于印发《廉江市自然资源局财务管理制度的通知》（廉自然资〔2019〕135号）的规定执行，严格按照先有预算、后有支出原则，严格执行批复的预算文件，结合年度工作任务，按照会计核算制度，严格把关资金审批流程，支出范围、程序、用途、核算</w:t>
      </w:r>
      <w:bookmarkStart w:id="5" w:name="_GoBack"/>
      <w:bookmarkEnd w:id="5"/>
      <w:r>
        <w:rPr>
          <w:rFonts w:hint="eastAsia" w:ascii="仿宋_GB2312" w:hAnsi="仿宋_GB2312" w:eastAsia="仿宋_GB2312" w:cs="仿宋_GB2312"/>
          <w:bCs/>
          <w:color w:val="auto"/>
          <w:kern w:val="0"/>
          <w:sz w:val="32"/>
          <w:szCs w:val="32"/>
          <w:highlight w:val="none"/>
        </w:rPr>
        <w:t>符合国家财经法规和财务管理制度及有关专项资金管理办法的规定</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bCs/>
          <w:color w:val="auto"/>
          <w:kern w:val="0"/>
          <w:sz w:val="32"/>
          <w:szCs w:val="32"/>
          <w:highlight w:val="none"/>
        </w:rPr>
        <w:t>对于重大事项支出除按规定呈批后研究决定才予以开支</w:t>
      </w:r>
      <w:r>
        <w:rPr>
          <w:rFonts w:eastAsia="仿宋_GB2312"/>
          <w:bCs/>
          <w:color w:val="auto"/>
          <w:kern w:val="0"/>
          <w:sz w:val="32"/>
          <w:szCs w:val="32"/>
          <w:highlight w:val="none"/>
        </w:rPr>
        <w:t>。</w:t>
      </w:r>
      <w:r>
        <w:rPr>
          <w:rFonts w:hint="eastAsia" w:ascii="仿宋_GB2312" w:hAnsi="仿宋_GB2312" w:eastAsia="仿宋_GB2312" w:cs="仿宋_GB2312"/>
          <w:b w:val="0"/>
          <w:bCs w:val="0"/>
          <w:color w:val="auto"/>
          <w:kern w:val="0"/>
          <w:sz w:val="32"/>
          <w:szCs w:val="32"/>
          <w:highlight w:val="none"/>
          <w:lang w:val="en-US" w:eastAsia="zh-CN"/>
        </w:rPr>
        <w:t>我局</w:t>
      </w:r>
      <w:r>
        <w:rPr>
          <w:rFonts w:hint="eastAsia" w:eastAsia="仿宋_GB2312"/>
          <w:bCs/>
          <w:color w:val="auto"/>
          <w:kern w:val="0"/>
          <w:sz w:val="32"/>
          <w:szCs w:val="32"/>
          <w:highlight w:val="none"/>
          <w:lang w:val="en-US" w:eastAsia="zh-CN"/>
        </w:rPr>
        <w:t>严格执行《廉江市自然资源局预算业务内部控制制度》、《廉江市自然资源局收支业务内部控制制度》等相关制度</w:t>
      </w:r>
      <w:r>
        <w:rPr>
          <w:rFonts w:hint="eastAsia" w:ascii="Times New Roman" w:hAnsi="Times New Roman" w:eastAsia="仿宋_GB2312" w:cs="Times New Roman"/>
          <w:color w:val="auto"/>
          <w:sz w:val="32"/>
          <w:szCs w:val="32"/>
          <w:highlight w:val="none"/>
          <w:lang w:val="en-US" w:eastAsia="zh-CN"/>
        </w:rPr>
        <w:t>。</w:t>
      </w:r>
    </w:p>
    <w:p>
      <w:pPr>
        <w:keepNext w:val="0"/>
        <w:keepLines w:val="0"/>
        <w:pageBreakBefore w:val="0"/>
        <w:kinsoku/>
        <w:wordWrap/>
        <w:overflowPunct/>
        <w:topLinePunct w:val="0"/>
        <w:autoSpaceDE/>
        <w:autoSpaceDN/>
        <w:bidi w:val="0"/>
        <w:adjustRightInd/>
        <w:snapToGrid w:val="0"/>
        <w:spacing w:line="560" w:lineRule="exact"/>
        <w:ind w:firstLine="643" w:firstLineChars="200"/>
        <w:textAlignment w:val="auto"/>
        <w:rPr>
          <w:rFonts w:hint="default"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4.信息公开</w:t>
      </w:r>
    </w:p>
    <w:p>
      <w:pPr>
        <w:keepNext w:val="0"/>
        <w:keepLines w:val="0"/>
        <w:pageBreakBefore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default"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我局预算执行能坚</w:t>
      </w:r>
      <w:r>
        <w:rPr>
          <w:rFonts w:eastAsia="仿宋_GB2312"/>
          <w:color w:val="auto"/>
          <w:sz w:val="32"/>
          <w:szCs w:val="32"/>
          <w:highlight w:val="none"/>
        </w:rPr>
        <w:t>根据《中华人民共和国预算法》第十四条的规定，经本级政府财政部门批复的部门预算、决算及报表，应当在批复后二十日内由各部门向社会公开，并对本级政府财政转移支付安排、执行的情况以及举借债务的情况等重要事项作出说明。我局</w:t>
      </w:r>
      <w:r>
        <w:rPr>
          <w:rFonts w:hint="eastAsia" w:eastAsia="仿宋_GB2312"/>
          <w:color w:val="auto"/>
          <w:sz w:val="32"/>
          <w:szCs w:val="32"/>
          <w:highlight w:val="none"/>
          <w:lang w:val="en-US" w:eastAsia="zh-CN"/>
        </w:rPr>
        <w:t>按规定公开预决算及绩效信息，</w:t>
      </w:r>
      <w:r>
        <w:rPr>
          <w:rFonts w:eastAsia="仿宋_GB2312"/>
          <w:color w:val="auto"/>
          <w:sz w:val="32"/>
          <w:szCs w:val="32"/>
          <w:highlight w:val="none"/>
        </w:rPr>
        <w:t>公开期限及披露内容符合预算法的规定</w:t>
      </w:r>
      <w:r>
        <w:rPr>
          <w:rFonts w:hint="eastAsia" w:ascii="Times New Roman" w:hAnsi="Times New Roman" w:eastAsia="仿宋_GB2312" w:cs="Times New Roman"/>
          <w:color w:val="auto"/>
          <w:sz w:val="32"/>
          <w:szCs w:val="32"/>
          <w:highlight w:val="none"/>
          <w:lang w:val="en-US" w:eastAsia="zh-CN"/>
        </w:rPr>
        <w:t>。</w:t>
      </w:r>
    </w:p>
    <w:p>
      <w:pPr>
        <w:keepNext w:val="0"/>
        <w:keepLines w:val="0"/>
        <w:pageBreakBefore w:val="0"/>
        <w:kinsoku/>
        <w:wordWrap/>
        <w:overflowPunct/>
        <w:topLinePunct w:val="0"/>
        <w:autoSpaceDE/>
        <w:autoSpaceDN/>
        <w:bidi w:val="0"/>
        <w:adjustRightInd/>
        <w:snapToGrid w:val="0"/>
        <w:spacing w:line="560" w:lineRule="exact"/>
        <w:ind w:firstLine="643" w:firstLineChars="200"/>
        <w:textAlignment w:val="auto"/>
        <w:rPr>
          <w:rFonts w:hint="default"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5.绩效管理</w:t>
      </w:r>
    </w:p>
    <w:p>
      <w:pPr>
        <w:keepNext w:val="0"/>
        <w:keepLines w:val="0"/>
        <w:pageBreakBefore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default" w:ascii="仿宋_GB2312" w:hAnsi="仿宋_GB2312" w:eastAsia="仿宋_GB2312" w:cs="仿宋_GB2312"/>
          <w:b/>
          <w:bCs/>
          <w:color w:val="auto"/>
          <w:kern w:val="0"/>
          <w:sz w:val="32"/>
          <w:szCs w:val="32"/>
          <w:highlight w:val="none"/>
          <w:lang w:val="en-US" w:eastAsia="zh-CN"/>
        </w:rPr>
      </w:pPr>
      <w:r>
        <w:rPr>
          <w:rFonts w:eastAsia="仿宋_GB2312"/>
          <w:bCs/>
          <w:color w:val="auto"/>
          <w:kern w:val="0"/>
          <w:sz w:val="32"/>
          <w:szCs w:val="32"/>
          <w:highlight w:val="none"/>
        </w:rPr>
        <w:t>为</w:t>
      </w:r>
      <w:r>
        <w:rPr>
          <w:rFonts w:eastAsia="仿宋_GB2312"/>
          <w:color w:val="auto"/>
          <w:sz w:val="32"/>
          <w:szCs w:val="32"/>
          <w:highlight w:val="none"/>
        </w:rPr>
        <w:t>加强和规范综合管理行为</w:t>
      </w:r>
      <w:r>
        <w:rPr>
          <w:rFonts w:eastAsia="仿宋_GB2312"/>
          <w:b/>
          <w:bCs/>
          <w:color w:val="auto"/>
          <w:kern w:val="0"/>
          <w:sz w:val="32"/>
          <w:szCs w:val="32"/>
          <w:highlight w:val="none"/>
        </w:rPr>
        <w:t>，</w:t>
      </w:r>
      <w:r>
        <w:rPr>
          <w:rFonts w:eastAsia="仿宋_GB2312"/>
          <w:bCs/>
          <w:color w:val="auto"/>
          <w:kern w:val="0"/>
          <w:sz w:val="32"/>
          <w:szCs w:val="32"/>
          <w:highlight w:val="none"/>
        </w:rPr>
        <w:t>我局结合单位实际，制定了《</w:t>
      </w:r>
      <w:r>
        <w:rPr>
          <w:rFonts w:hint="eastAsia" w:eastAsia="仿宋_GB2312"/>
          <w:bCs/>
          <w:color w:val="auto"/>
          <w:kern w:val="0"/>
          <w:sz w:val="32"/>
          <w:szCs w:val="32"/>
          <w:highlight w:val="none"/>
        </w:rPr>
        <w:t>廉江市自然资源局预算绩效管理制度</w:t>
      </w:r>
      <w:r>
        <w:rPr>
          <w:rFonts w:eastAsia="仿宋_GB2312"/>
          <w:bCs/>
          <w:color w:val="auto"/>
          <w:kern w:val="0"/>
          <w:sz w:val="32"/>
          <w:szCs w:val="32"/>
          <w:highlight w:val="none"/>
        </w:rPr>
        <w:t>》</w:t>
      </w:r>
      <w:r>
        <w:rPr>
          <w:rFonts w:hint="eastAsia" w:eastAsia="仿宋_GB2312"/>
          <w:bCs/>
          <w:color w:val="auto"/>
          <w:kern w:val="0"/>
          <w:sz w:val="32"/>
          <w:szCs w:val="32"/>
          <w:highlight w:val="none"/>
          <w:lang w:eastAsia="zh-CN"/>
        </w:rPr>
        <w:t>、</w:t>
      </w:r>
      <w:r>
        <w:rPr>
          <w:rFonts w:hint="eastAsia" w:ascii="仿宋_GB2312" w:hAnsi="仿宋_GB2312" w:eastAsia="仿宋_GB2312" w:cs="仿宋_GB2312"/>
          <w:bCs/>
          <w:color w:val="auto"/>
          <w:kern w:val="0"/>
          <w:sz w:val="32"/>
          <w:szCs w:val="32"/>
          <w:highlight w:val="none"/>
        </w:rPr>
        <w:t>《廉江市自然资源局财务管理制度的通知》</w:t>
      </w:r>
      <w:r>
        <w:rPr>
          <w:rFonts w:eastAsia="仿宋_GB2312"/>
          <w:bCs/>
          <w:color w:val="auto"/>
          <w:kern w:val="0"/>
          <w:sz w:val="32"/>
          <w:szCs w:val="32"/>
          <w:highlight w:val="none"/>
        </w:rPr>
        <w:t>等</w:t>
      </w:r>
      <w:r>
        <w:rPr>
          <w:rFonts w:eastAsia="仿宋_GB2312"/>
          <w:color w:val="auto"/>
          <w:sz w:val="32"/>
          <w:szCs w:val="32"/>
          <w:highlight w:val="none"/>
        </w:rPr>
        <w:t>管理制度，进一步</w:t>
      </w:r>
      <w:r>
        <w:rPr>
          <w:rFonts w:eastAsia="仿宋_GB2312"/>
          <w:bCs/>
          <w:color w:val="auto"/>
          <w:kern w:val="0"/>
          <w:sz w:val="32"/>
          <w:szCs w:val="32"/>
          <w:highlight w:val="none"/>
        </w:rPr>
        <w:t>加强</w:t>
      </w:r>
      <w:r>
        <w:rPr>
          <w:rFonts w:eastAsia="仿宋_GB2312"/>
          <w:color w:val="auto"/>
          <w:sz w:val="32"/>
          <w:szCs w:val="32"/>
          <w:highlight w:val="none"/>
        </w:rPr>
        <w:t>人员、财务、资金使用、物资采购、会计核算等方面管理，堵塞了管理漏洞，提高了财政综合管理水平。</w:t>
      </w:r>
      <w:r>
        <w:rPr>
          <w:rFonts w:hint="eastAsia" w:eastAsia="仿宋_GB2312"/>
          <w:color w:val="auto"/>
          <w:sz w:val="32"/>
          <w:szCs w:val="32"/>
          <w:highlight w:val="none"/>
          <w:lang w:eastAsia="zh-CN"/>
        </w:rPr>
        <w:t>绩效管理执行廉江市财政局</w:t>
      </w:r>
      <w:r>
        <w:rPr>
          <w:rFonts w:hint="eastAsia" w:ascii="仿宋_GB2312" w:hAnsi="仿宋_GB2312" w:eastAsia="仿宋_GB2312" w:cs="仿宋_GB2312"/>
          <w:color w:val="auto"/>
          <w:sz w:val="32"/>
          <w:szCs w:val="32"/>
          <w:highlight w:val="none"/>
          <w:lang w:val="en-US" w:eastAsia="zh-CN"/>
        </w:rPr>
        <w:t>《廉江市市级部门单位整体支出绩效评价管理办法的通知》（廉财评〔2020〕2号）文件相关规定。部门整体预算绩效目标和项目绩效目标编报及时、内容完整规范，绩效指标细化和量化，指标值可比较、可评定；绩效目标与支出内容、政策依据关联，与部门职责及其事业发展规划相关，与预算资金规模匹配；绩效指标涵盖与业务相关的个性化、行业性的主要产出指标和效益指标，指标值设置合理。</w:t>
      </w:r>
    </w:p>
    <w:p>
      <w:pPr>
        <w:keepNext w:val="0"/>
        <w:keepLines w:val="0"/>
        <w:pageBreakBefore w:val="0"/>
        <w:kinsoku/>
        <w:wordWrap/>
        <w:overflowPunct/>
        <w:topLinePunct w:val="0"/>
        <w:autoSpaceDE/>
        <w:autoSpaceDN/>
        <w:bidi w:val="0"/>
        <w:adjustRightInd/>
        <w:snapToGrid w:val="0"/>
        <w:spacing w:line="560" w:lineRule="exact"/>
        <w:ind w:firstLine="643" w:firstLineChars="200"/>
        <w:textAlignment w:val="auto"/>
        <w:rPr>
          <w:rFonts w:hint="default"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6.采购管理</w:t>
      </w:r>
    </w:p>
    <w:p>
      <w:pPr>
        <w:keepNext w:val="0"/>
        <w:keepLines w:val="0"/>
        <w:pageBreakBefore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default" w:ascii="仿宋_GB2312" w:hAnsi="仿宋_GB2312" w:eastAsia="仿宋_GB2312" w:cs="仿宋_GB2312"/>
          <w:b/>
          <w:bCs/>
          <w:color w:val="auto"/>
          <w:kern w:val="0"/>
          <w:sz w:val="32"/>
          <w:szCs w:val="32"/>
          <w:highlight w:val="none"/>
          <w:lang w:val="en-US" w:eastAsia="zh-CN"/>
        </w:rPr>
      </w:pPr>
      <w:r>
        <w:rPr>
          <w:rFonts w:eastAsia="仿宋_GB2312"/>
          <w:bCs/>
          <w:color w:val="auto"/>
          <w:kern w:val="0"/>
          <w:sz w:val="32"/>
          <w:szCs w:val="32"/>
          <w:highlight w:val="none"/>
        </w:rPr>
        <w:t>为</w:t>
      </w:r>
      <w:r>
        <w:rPr>
          <w:rFonts w:eastAsia="仿宋_GB2312"/>
          <w:color w:val="auto"/>
          <w:sz w:val="32"/>
          <w:szCs w:val="32"/>
          <w:highlight w:val="none"/>
        </w:rPr>
        <w:t>加强和规范</w:t>
      </w:r>
      <w:r>
        <w:rPr>
          <w:rFonts w:hint="eastAsia" w:eastAsia="仿宋_GB2312"/>
          <w:bCs/>
          <w:color w:val="auto"/>
          <w:kern w:val="0"/>
          <w:sz w:val="32"/>
          <w:szCs w:val="32"/>
          <w:highlight w:val="none"/>
        </w:rPr>
        <w:t>政府采购行为，</w:t>
      </w:r>
      <w:r>
        <w:rPr>
          <w:rFonts w:hint="eastAsia" w:eastAsia="仿宋_GB2312"/>
          <w:bCs/>
          <w:color w:val="auto"/>
          <w:kern w:val="0"/>
          <w:sz w:val="32"/>
          <w:szCs w:val="32"/>
          <w:highlight w:val="none"/>
          <w:lang w:eastAsia="zh-CN"/>
        </w:rPr>
        <w:t>我局严格执行</w:t>
      </w:r>
      <w:r>
        <w:rPr>
          <w:rFonts w:hint="eastAsia" w:eastAsia="仿宋_GB2312"/>
          <w:bCs/>
          <w:color w:val="auto"/>
          <w:kern w:val="0"/>
          <w:sz w:val="32"/>
          <w:szCs w:val="32"/>
          <w:highlight w:val="none"/>
        </w:rPr>
        <w:t>《中华人民共和国政府采购法》</w:t>
      </w:r>
      <w:r>
        <w:rPr>
          <w:rFonts w:hint="eastAsia" w:eastAsia="仿宋_GB2312"/>
          <w:bCs/>
          <w:color w:val="auto"/>
          <w:kern w:val="0"/>
          <w:sz w:val="32"/>
          <w:szCs w:val="32"/>
          <w:highlight w:val="none"/>
          <w:lang w:eastAsia="zh-CN"/>
        </w:rPr>
        <w:t>，</w:t>
      </w:r>
      <w:r>
        <w:rPr>
          <w:rFonts w:hint="eastAsia" w:eastAsia="仿宋_GB2312"/>
          <w:bCs/>
          <w:color w:val="auto"/>
          <w:kern w:val="0"/>
          <w:sz w:val="32"/>
          <w:szCs w:val="32"/>
          <w:highlight w:val="none"/>
        </w:rPr>
        <w:t>在编制下一财政年度的预算时，根据市财政局公布的年度政府集中采购目录及限额标准，按照预算编制程序和要求逐级报批</w:t>
      </w:r>
      <w:r>
        <w:rPr>
          <w:rFonts w:hint="eastAsia" w:eastAsia="仿宋_GB2312"/>
          <w:bCs/>
          <w:color w:val="auto"/>
          <w:kern w:val="0"/>
          <w:sz w:val="32"/>
          <w:szCs w:val="32"/>
          <w:highlight w:val="none"/>
          <w:lang w:eastAsia="zh-CN"/>
        </w:rPr>
        <w:t>，</w:t>
      </w:r>
      <w:r>
        <w:rPr>
          <w:rFonts w:hint="eastAsia" w:eastAsia="仿宋_GB2312"/>
          <w:bCs/>
          <w:color w:val="auto"/>
          <w:kern w:val="0"/>
          <w:sz w:val="32"/>
          <w:szCs w:val="32"/>
          <w:highlight w:val="none"/>
        </w:rPr>
        <w:t>建立健全内部监督管理制度，采购活动的决策和执行程序明确，并相互监督，相互制约</w:t>
      </w:r>
      <w:r>
        <w:rPr>
          <w:rFonts w:hint="eastAsia" w:eastAsia="仿宋_GB2312"/>
          <w:bCs/>
          <w:color w:val="auto"/>
          <w:kern w:val="0"/>
          <w:sz w:val="32"/>
          <w:szCs w:val="32"/>
          <w:highlight w:val="none"/>
          <w:lang w:eastAsia="zh-CN"/>
        </w:rPr>
        <w:t>，</w:t>
      </w:r>
      <w:r>
        <w:rPr>
          <w:rFonts w:hint="eastAsia" w:eastAsia="仿宋_GB2312"/>
          <w:bCs/>
          <w:color w:val="auto"/>
          <w:kern w:val="0"/>
          <w:sz w:val="32"/>
          <w:szCs w:val="32"/>
          <w:highlight w:val="none"/>
        </w:rPr>
        <w:t>采购经办人员与采购合同审核人员、验收人员的职责权限明确，并相互分离</w:t>
      </w:r>
      <w:r>
        <w:rPr>
          <w:rFonts w:hint="eastAsia" w:eastAsia="仿宋_GB2312"/>
          <w:bCs/>
          <w:color w:val="auto"/>
          <w:kern w:val="0"/>
          <w:sz w:val="32"/>
          <w:szCs w:val="32"/>
          <w:highlight w:val="none"/>
          <w:lang w:eastAsia="zh-CN"/>
        </w:rPr>
        <w:t>。</w:t>
      </w:r>
      <w:r>
        <w:rPr>
          <w:rFonts w:hint="eastAsia" w:eastAsia="仿宋_GB2312"/>
          <w:bCs/>
          <w:color w:val="auto"/>
          <w:kern w:val="0"/>
          <w:sz w:val="32"/>
          <w:szCs w:val="32"/>
          <w:highlight w:val="none"/>
          <w:lang w:val="en-US" w:eastAsia="zh-CN"/>
        </w:rPr>
        <w:t>我局</w:t>
      </w:r>
      <w:r>
        <w:rPr>
          <w:rFonts w:hint="eastAsia" w:eastAsia="仿宋_GB2312"/>
          <w:bCs/>
          <w:color w:val="auto"/>
          <w:kern w:val="0"/>
          <w:sz w:val="32"/>
          <w:szCs w:val="32"/>
          <w:highlight w:val="none"/>
          <w:lang w:eastAsia="zh-CN"/>
        </w:rPr>
        <w:t>政府采购活动合法合规。</w:t>
      </w:r>
    </w:p>
    <w:p>
      <w:pPr>
        <w:keepNext w:val="0"/>
        <w:keepLines w:val="0"/>
        <w:pageBreakBefore w:val="0"/>
        <w:kinsoku/>
        <w:wordWrap/>
        <w:overflowPunct/>
        <w:topLinePunct w:val="0"/>
        <w:autoSpaceDE/>
        <w:autoSpaceDN/>
        <w:bidi w:val="0"/>
        <w:adjustRightInd/>
        <w:snapToGrid w:val="0"/>
        <w:spacing w:line="560" w:lineRule="exact"/>
        <w:ind w:firstLine="643" w:firstLineChars="200"/>
        <w:textAlignment w:val="auto"/>
        <w:rPr>
          <w:rFonts w:hint="default"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7.资产管理</w:t>
      </w:r>
    </w:p>
    <w:p>
      <w:pPr>
        <w:keepNext w:val="0"/>
        <w:keepLines w:val="0"/>
        <w:pageBreakBefore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default"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color w:val="auto"/>
          <w:sz w:val="32"/>
          <w:szCs w:val="32"/>
          <w:highlight w:val="none"/>
        </w:rPr>
        <w:t>为规范资产采购行为，降低行政成本、</w:t>
      </w:r>
      <w:r>
        <w:rPr>
          <w:rFonts w:hint="eastAsia" w:ascii="仿宋_GB2312" w:hAnsi="仿宋_GB2312" w:eastAsia="仿宋_GB2312" w:cs="仿宋_GB2312"/>
          <w:color w:val="auto"/>
          <w:sz w:val="32"/>
          <w:szCs w:val="32"/>
          <w:highlight w:val="none"/>
          <w:lang w:eastAsia="zh-CN"/>
        </w:rPr>
        <w:t>根据</w:t>
      </w:r>
      <w:r>
        <w:rPr>
          <w:rFonts w:hint="eastAsia" w:ascii="仿宋_GB2312" w:hAnsi="仿宋_GB2312" w:eastAsia="仿宋_GB2312" w:cs="仿宋_GB2312"/>
          <w:bCs/>
          <w:color w:val="auto"/>
          <w:kern w:val="0"/>
          <w:sz w:val="32"/>
          <w:szCs w:val="32"/>
          <w:highlight w:val="none"/>
        </w:rPr>
        <w:t>《廉江市自然资源局政府采购内部控制管理制度》（廉自然资〔2021〕985号）</w:t>
      </w:r>
      <w:r>
        <w:rPr>
          <w:rFonts w:hint="eastAsia" w:ascii="仿宋_GB2312" w:hAnsi="仿宋_GB2312" w:eastAsia="仿宋_GB2312" w:cs="仿宋_GB2312"/>
          <w:bCs/>
          <w:color w:val="auto"/>
          <w:kern w:val="0"/>
          <w:sz w:val="32"/>
          <w:szCs w:val="32"/>
          <w:highlight w:val="none"/>
          <w:lang w:eastAsia="zh-CN"/>
        </w:rPr>
        <w:t>、</w:t>
      </w:r>
      <w:r>
        <w:rPr>
          <w:rFonts w:hint="eastAsia" w:ascii="仿宋_GB2312" w:hAnsi="仿宋_GB2312" w:eastAsia="仿宋_GB2312" w:cs="仿宋_GB2312"/>
          <w:bCs/>
          <w:color w:val="auto"/>
          <w:kern w:val="0"/>
          <w:sz w:val="32"/>
          <w:szCs w:val="32"/>
          <w:highlight w:val="none"/>
        </w:rPr>
        <w:t>《廉江市自然资源局固定资产制度的通知》（廉自然资〔2019〕136号）等制度，</w:t>
      </w:r>
      <w:r>
        <w:rPr>
          <w:rFonts w:hint="eastAsia" w:ascii="仿宋_GB2312" w:hAnsi="仿宋_GB2312" w:eastAsia="仿宋_GB2312" w:cs="仿宋_GB2312"/>
          <w:bCs/>
          <w:color w:val="auto"/>
          <w:kern w:val="0"/>
          <w:sz w:val="32"/>
          <w:szCs w:val="32"/>
          <w:highlight w:val="none"/>
          <w:lang w:val="en-US" w:eastAsia="zh-CN"/>
        </w:rPr>
        <w:t>我局</w:t>
      </w:r>
      <w:r>
        <w:rPr>
          <w:rFonts w:hint="eastAsia" w:ascii="仿宋_GB2312" w:hAnsi="仿宋_GB2312" w:eastAsia="仿宋_GB2312" w:cs="仿宋_GB2312"/>
          <w:bCs/>
          <w:color w:val="auto"/>
          <w:kern w:val="0"/>
          <w:sz w:val="32"/>
          <w:szCs w:val="32"/>
          <w:highlight w:val="none"/>
        </w:rPr>
        <w:t>进一步完善了单位资产采购，</w:t>
      </w:r>
      <w:r>
        <w:rPr>
          <w:rFonts w:hint="eastAsia" w:ascii="仿宋_GB2312" w:hAnsi="仿宋_GB2312" w:eastAsia="仿宋_GB2312" w:cs="仿宋_GB2312"/>
          <w:color w:val="auto"/>
          <w:sz w:val="32"/>
          <w:szCs w:val="32"/>
          <w:highlight w:val="none"/>
        </w:rPr>
        <w:t>资产登记造册工作、保存完整，资产配置、使用、处置等各环节管理工作</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确保《全国行政事业单位资产管理系统》中当年增减的数据与会计账面数据一致，准确及时把握资产的增减变动及其结存情况。</w:t>
      </w:r>
      <w:r>
        <w:rPr>
          <w:rFonts w:hint="eastAsia" w:ascii="仿宋_GB2312" w:hAnsi="仿宋_GB2312" w:eastAsia="仿宋_GB2312" w:cs="仿宋_GB2312"/>
          <w:color w:val="auto"/>
          <w:sz w:val="32"/>
          <w:szCs w:val="32"/>
          <w:highlight w:val="none"/>
          <w:lang w:val="en-US" w:eastAsia="zh-CN"/>
        </w:rPr>
        <w:t>2025年12月31日</w:t>
      </w:r>
      <w:r>
        <w:rPr>
          <w:rFonts w:hint="eastAsia" w:ascii="仿宋_GB2312" w:hAnsi="仿宋_GB2312" w:eastAsia="仿宋_GB2312" w:cs="仿宋_GB2312"/>
          <w:color w:val="auto"/>
          <w:sz w:val="32"/>
          <w:szCs w:val="32"/>
          <w:highlight w:val="none"/>
        </w:rPr>
        <w:t>固定资产总额</w:t>
      </w:r>
      <w:r>
        <w:rPr>
          <w:rFonts w:hint="eastAsia" w:ascii="仿宋_GB2312" w:hAnsi="仿宋_GB2312" w:eastAsia="仿宋_GB2312" w:cs="仿宋_GB2312"/>
          <w:color w:val="auto"/>
          <w:sz w:val="32"/>
          <w:szCs w:val="32"/>
          <w:highlight w:val="none"/>
          <w:lang w:val="en-US" w:eastAsia="zh-CN"/>
        </w:rPr>
        <w:t>3,663.68</w:t>
      </w:r>
      <w:r>
        <w:rPr>
          <w:rFonts w:hint="eastAsia" w:ascii="仿宋_GB2312" w:hAnsi="仿宋_GB2312" w:eastAsia="仿宋_GB2312" w:cs="仿宋_GB2312"/>
          <w:color w:val="auto"/>
          <w:sz w:val="32"/>
          <w:szCs w:val="32"/>
          <w:highlight w:val="none"/>
        </w:rPr>
        <w:t>万元，其中：在用固定资产</w:t>
      </w:r>
      <w:r>
        <w:rPr>
          <w:rFonts w:hint="eastAsia" w:ascii="仿宋_GB2312" w:hAnsi="仿宋_GB2312" w:eastAsia="仿宋_GB2312" w:cs="仿宋_GB2312"/>
          <w:color w:val="auto"/>
          <w:sz w:val="32"/>
          <w:szCs w:val="32"/>
          <w:highlight w:val="none"/>
          <w:lang w:val="en-US" w:eastAsia="zh-CN"/>
        </w:rPr>
        <w:t>3,663.68</w:t>
      </w:r>
      <w:r>
        <w:rPr>
          <w:rFonts w:hint="eastAsia" w:ascii="仿宋_GB2312" w:hAnsi="仿宋_GB2312" w:eastAsia="仿宋_GB2312" w:cs="仿宋_GB2312"/>
          <w:color w:val="auto"/>
          <w:sz w:val="32"/>
          <w:szCs w:val="32"/>
          <w:highlight w:val="none"/>
        </w:rPr>
        <w:t>万元，闲置资产</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万元，固定资产利用率</w:t>
      </w:r>
      <w:r>
        <w:rPr>
          <w:rFonts w:hint="eastAsia" w:ascii="仿宋_GB2312" w:hAnsi="仿宋_GB2312" w:eastAsia="仿宋_GB2312" w:cs="仿宋_GB2312"/>
          <w:color w:val="auto"/>
          <w:sz w:val="32"/>
          <w:szCs w:val="32"/>
          <w:highlight w:val="none"/>
          <w:lang w:val="en-US" w:eastAsia="zh-CN"/>
        </w:rPr>
        <w:t>100</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bCs/>
          <w:color w:val="auto"/>
          <w:kern w:val="0"/>
          <w:sz w:val="32"/>
          <w:szCs w:val="32"/>
          <w:highlight w:val="none"/>
          <w:lang w:val="en-US" w:eastAsia="zh-CN"/>
        </w:rPr>
        <w:t>2025年我局无</w:t>
      </w:r>
      <w:r>
        <w:rPr>
          <w:rFonts w:hint="eastAsia" w:ascii="仿宋_GB2312" w:hAnsi="仿宋_GB2312" w:eastAsia="仿宋_GB2312" w:cs="仿宋_GB2312"/>
          <w:bCs/>
          <w:color w:val="auto"/>
          <w:kern w:val="0"/>
          <w:sz w:val="32"/>
          <w:szCs w:val="32"/>
          <w:highlight w:val="none"/>
        </w:rPr>
        <w:t>资产处置和使用收益上缴</w:t>
      </w:r>
      <w:r>
        <w:rPr>
          <w:rFonts w:hint="eastAsia" w:ascii="仿宋_GB2312" w:hAnsi="仿宋_GB2312" w:eastAsia="仿宋_GB2312" w:cs="仿宋_GB2312"/>
          <w:bCs/>
          <w:color w:val="auto"/>
          <w:kern w:val="0"/>
          <w:sz w:val="32"/>
          <w:szCs w:val="32"/>
          <w:highlight w:val="none"/>
          <w:lang w:eastAsia="zh-CN"/>
        </w:rPr>
        <w:t>。</w:t>
      </w:r>
    </w:p>
    <w:p>
      <w:pPr>
        <w:keepNext w:val="0"/>
        <w:keepLines w:val="0"/>
        <w:pageBreakBefore w:val="0"/>
        <w:kinsoku/>
        <w:wordWrap/>
        <w:overflowPunct/>
        <w:topLinePunct w:val="0"/>
        <w:autoSpaceDE/>
        <w:autoSpaceDN/>
        <w:bidi w:val="0"/>
        <w:adjustRightInd/>
        <w:snapToGrid w:val="0"/>
        <w:spacing w:line="560" w:lineRule="exact"/>
        <w:ind w:firstLine="643" w:firstLineChars="200"/>
        <w:textAlignment w:val="auto"/>
        <w:rPr>
          <w:rFonts w:hint="default"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8.运行成本</w:t>
      </w:r>
    </w:p>
    <w:p>
      <w:pPr>
        <w:keepNext w:val="0"/>
        <w:keepLines w:val="0"/>
        <w:pageBreakBefore w:val="0"/>
        <w:numPr>
          <w:ilvl w:val="0"/>
          <w:numId w:val="0"/>
        </w:numPr>
        <w:kinsoku/>
        <w:wordWrap/>
        <w:overflowPunct/>
        <w:topLinePunct w:val="0"/>
        <w:autoSpaceDE/>
        <w:autoSpaceDN/>
        <w:bidi w:val="0"/>
        <w:adjustRightInd/>
        <w:snapToGrid w:val="0"/>
        <w:spacing w:line="560" w:lineRule="exact"/>
        <w:ind w:firstLine="643" w:firstLineChars="200"/>
        <w:textAlignment w:val="auto"/>
        <w:rPr>
          <w:rFonts w:hint="default"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color w:val="auto"/>
          <w:kern w:val="0"/>
          <w:sz w:val="32"/>
          <w:szCs w:val="32"/>
          <w:highlight w:val="none"/>
        </w:rPr>
        <w:t>一是</w:t>
      </w:r>
      <w:r>
        <w:rPr>
          <w:rFonts w:hint="eastAsia" w:ascii="仿宋_GB2312" w:hAnsi="仿宋_GB2312" w:eastAsia="仿宋_GB2312" w:cs="仿宋_GB2312"/>
          <w:color w:val="auto"/>
          <w:kern w:val="0"/>
          <w:sz w:val="32"/>
          <w:szCs w:val="32"/>
          <w:highlight w:val="none"/>
        </w:rPr>
        <w:t>202</w:t>
      </w:r>
      <w:r>
        <w:rPr>
          <w:rFonts w:hint="eastAsia" w:ascii="仿宋_GB2312" w:hAnsi="仿宋_GB2312" w:eastAsia="仿宋_GB2312" w:cs="仿宋_GB2312"/>
          <w:color w:val="auto"/>
          <w:kern w:val="0"/>
          <w:sz w:val="32"/>
          <w:szCs w:val="32"/>
          <w:highlight w:val="none"/>
          <w:lang w:val="en-US" w:eastAsia="zh-CN"/>
        </w:rPr>
        <w:t>5</w:t>
      </w:r>
      <w:r>
        <w:rPr>
          <w:rFonts w:hint="eastAsia" w:ascii="仿宋_GB2312" w:hAnsi="仿宋_GB2312" w:eastAsia="仿宋_GB2312" w:cs="仿宋_GB2312"/>
          <w:color w:val="auto"/>
          <w:kern w:val="0"/>
          <w:sz w:val="32"/>
          <w:szCs w:val="32"/>
          <w:highlight w:val="none"/>
        </w:rPr>
        <w:t>年“三公”经费部门年初预算数</w:t>
      </w:r>
      <w:r>
        <w:rPr>
          <w:rFonts w:hint="eastAsia" w:ascii="仿宋_GB2312" w:hAnsi="仿宋_GB2312" w:eastAsia="仿宋_GB2312" w:cs="仿宋_GB2312"/>
          <w:color w:val="auto"/>
          <w:kern w:val="0"/>
          <w:sz w:val="32"/>
          <w:szCs w:val="32"/>
          <w:highlight w:val="none"/>
          <w:lang w:val="en-US" w:eastAsia="zh-CN"/>
        </w:rPr>
        <w:t>18</w:t>
      </w:r>
      <w:r>
        <w:rPr>
          <w:rFonts w:hint="eastAsia" w:ascii="仿宋_GB2312" w:hAnsi="仿宋_GB2312" w:eastAsia="仿宋_GB2312" w:cs="仿宋_GB2312"/>
          <w:color w:val="auto"/>
          <w:kern w:val="0"/>
          <w:sz w:val="32"/>
          <w:szCs w:val="32"/>
          <w:highlight w:val="none"/>
        </w:rPr>
        <w:t>万元，全年实际支出</w:t>
      </w:r>
      <w:r>
        <w:rPr>
          <w:rFonts w:hint="eastAsia" w:ascii="仿宋_GB2312" w:hAnsi="仿宋_GB2312" w:eastAsia="仿宋_GB2312" w:cs="仿宋_GB2312"/>
          <w:color w:val="auto"/>
          <w:kern w:val="0"/>
          <w:sz w:val="32"/>
          <w:szCs w:val="32"/>
          <w:highlight w:val="none"/>
          <w:lang w:val="en-US" w:eastAsia="zh-CN"/>
        </w:rPr>
        <w:t>18</w:t>
      </w:r>
      <w:r>
        <w:rPr>
          <w:rFonts w:hint="eastAsia" w:ascii="仿宋_GB2312" w:hAnsi="仿宋_GB2312" w:eastAsia="仿宋_GB2312" w:cs="仿宋_GB2312"/>
          <w:color w:val="auto"/>
          <w:kern w:val="0"/>
          <w:sz w:val="32"/>
          <w:szCs w:val="32"/>
          <w:highlight w:val="none"/>
        </w:rPr>
        <w:t>万元，“三公”经费实际支出数≤预算安排的“三公”经费数</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sz w:val="32"/>
          <w:szCs w:val="32"/>
          <w:highlight w:val="none"/>
        </w:rPr>
        <w:t>预算</w:t>
      </w:r>
      <w:r>
        <w:rPr>
          <w:rFonts w:hint="eastAsia" w:ascii="仿宋_GB2312" w:hAnsi="仿宋_GB2312" w:eastAsia="仿宋_GB2312" w:cs="仿宋_GB2312"/>
          <w:color w:val="auto"/>
          <w:sz w:val="32"/>
          <w:szCs w:val="32"/>
          <w:highlight w:val="none"/>
          <w:lang w:val="en-US" w:eastAsia="zh-CN"/>
        </w:rPr>
        <w:t>控制好</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b/>
          <w:color w:val="auto"/>
          <w:kern w:val="0"/>
          <w:sz w:val="32"/>
          <w:szCs w:val="32"/>
          <w:highlight w:val="none"/>
        </w:rPr>
        <w:t>二是</w:t>
      </w:r>
      <w:r>
        <w:rPr>
          <w:rFonts w:hint="eastAsia" w:ascii="仿宋_GB2312" w:hAnsi="仿宋_GB2312" w:eastAsia="仿宋_GB2312" w:cs="仿宋_GB2312"/>
          <w:color w:val="auto"/>
          <w:kern w:val="0"/>
          <w:sz w:val="32"/>
          <w:szCs w:val="32"/>
          <w:highlight w:val="none"/>
          <w:lang w:val="en-US" w:eastAsia="zh-CN"/>
        </w:rPr>
        <w:t>2025</w:t>
      </w:r>
      <w:r>
        <w:rPr>
          <w:rFonts w:hint="eastAsia" w:ascii="仿宋_GB2312" w:hAnsi="仿宋_GB2312" w:eastAsia="仿宋_GB2312" w:cs="仿宋_GB2312"/>
          <w:color w:val="auto"/>
          <w:kern w:val="0"/>
          <w:sz w:val="32"/>
          <w:szCs w:val="32"/>
          <w:highlight w:val="none"/>
        </w:rPr>
        <w:t>年日常公用经费调整预算数</w:t>
      </w:r>
      <w:r>
        <w:rPr>
          <w:rFonts w:hint="eastAsia" w:ascii="仿宋_GB2312" w:hAnsi="仿宋_GB2312" w:eastAsia="仿宋_GB2312" w:cs="仿宋_GB2312"/>
          <w:color w:val="auto"/>
          <w:kern w:val="0"/>
          <w:sz w:val="32"/>
          <w:szCs w:val="32"/>
          <w:highlight w:val="none"/>
          <w:lang w:val="en-US" w:eastAsia="zh-CN"/>
        </w:rPr>
        <w:t>89.32</w:t>
      </w:r>
      <w:r>
        <w:rPr>
          <w:rFonts w:hint="eastAsia" w:ascii="仿宋_GB2312" w:hAnsi="仿宋_GB2312" w:eastAsia="仿宋_GB2312" w:cs="仿宋_GB2312"/>
          <w:color w:val="auto"/>
          <w:kern w:val="0"/>
          <w:sz w:val="32"/>
          <w:szCs w:val="32"/>
          <w:highlight w:val="none"/>
        </w:rPr>
        <w:t>万元，实际支出数</w:t>
      </w:r>
      <w:r>
        <w:rPr>
          <w:rFonts w:hint="eastAsia" w:ascii="仿宋_GB2312" w:hAnsi="仿宋_GB2312" w:eastAsia="仿宋_GB2312" w:cs="仿宋_GB2312"/>
          <w:color w:val="auto"/>
          <w:kern w:val="0"/>
          <w:sz w:val="32"/>
          <w:szCs w:val="32"/>
          <w:highlight w:val="none"/>
          <w:lang w:val="en-US" w:eastAsia="zh-CN"/>
        </w:rPr>
        <w:t>89.32</w:t>
      </w:r>
      <w:r>
        <w:rPr>
          <w:rFonts w:hint="eastAsia" w:ascii="仿宋_GB2312" w:hAnsi="仿宋_GB2312" w:eastAsia="仿宋_GB2312" w:cs="仿宋_GB2312"/>
          <w:color w:val="auto"/>
          <w:kern w:val="0"/>
          <w:sz w:val="32"/>
          <w:szCs w:val="32"/>
          <w:highlight w:val="none"/>
        </w:rPr>
        <w:t>万元，日常公用经费决算数≤日常公用经费调整预算数</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sz w:val="32"/>
          <w:szCs w:val="32"/>
          <w:highlight w:val="none"/>
        </w:rPr>
        <w:t>预算</w:t>
      </w:r>
      <w:r>
        <w:rPr>
          <w:rFonts w:hint="eastAsia" w:ascii="仿宋_GB2312" w:hAnsi="仿宋_GB2312" w:eastAsia="仿宋_GB2312" w:cs="仿宋_GB2312"/>
          <w:color w:val="auto"/>
          <w:sz w:val="32"/>
          <w:szCs w:val="32"/>
          <w:highlight w:val="none"/>
          <w:lang w:val="en-US" w:eastAsia="zh-CN"/>
        </w:rPr>
        <w:t>控制好</w:t>
      </w:r>
      <w:r>
        <w:rPr>
          <w:rFonts w:hint="eastAsia" w:ascii="仿宋_GB2312" w:hAnsi="仿宋_GB2312" w:eastAsia="仿宋_GB2312" w:cs="仿宋_GB2312"/>
          <w:color w:val="auto"/>
          <w:kern w:val="0"/>
          <w:sz w:val="32"/>
          <w:szCs w:val="32"/>
          <w:highlight w:val="none"/>
        </w:rPr>
        <w:t>。</w:t>
      </w:r>
    </w:p>
    <w:p>
      <w:pPr>
        <w:keepNext w:val="0"/>
        <w:keepLines w:val="0"/>
        <w:pageBreakBefore w:val="0"/>
        <w:kinsoku/>
        <w:wordWrap/>
        <w:overflowPunct/>
        <w:topLinePunct w:val="0"/>
        <w:autoSpaceDE/>
        <w:autoSpaceDN/>
        <w:bidi w:val="0"/>
        <w:adjustRightInd/>
        <w:snapToGrid w:val="0"/>
        <w:spacing w:line="560" w:lineRule="exact"/>
        <w:ind w:firstLine="643" w:firstLineChars="200"/>
        <w:textAlignment w:val="auto"/>
        <w:rPr>
          <w:rFonts w:hint="eastAsia" w:ascii="楷体_GB2312" w:hAnsi="楷体_GB2312" w:eastAsia="楷体_GB2312" w:cs="楷体_GB2312"/>
          <w:b/>
          <w:bCs/>
          <w:color w:val="auto"/>
          <w:sz w:val="32"/>
          <w:szCs w:val="32"/>
          <w:highlight w:val="none"/>
        </w:rPr>
      </w:pPr>
      <w:r>
        <w:rPr>
          <w:rFonts w:hint="eastAsia" w:ascii="楷体_GB2312" w:hAnsi="楷体_GB2312" w:eastAsia="楷体_GB2312" w:cs="楷体_GB2312"/>
          <w:b/>
          <w:bCs/>
          <w:color w:val="auto"/>
          <w:sz w:val="32"/>
          <w:szCs w:val="32"/>
          <w:highlight w:val="none"/>
          <w:lang w:eastAsia="zh-CN"/>
        </w:rPr>
        <w:t>（三）</w:t>
      </w:r>
      <w:r>
        <w:rPr>
          <w:rFonts w:hint="eastAsia" w:ascii="楷体_GB2312" w:hAnsi="楷体_GB2312" w:eastAsia="楷体_GB2312" w:cs="楷体_GB2312"/>
          <w:b/>
          <w:bCs/>
          <w:color w:val="auto"/>
          <w:sz w:val="32"/>
          <w:szCs w:val="32"/>
          <w:highlight w:val="none"/>
        </w:rPr>
        <w:t>部门整体支出绩效管理存在问题</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kern w:val="0"/>
          <w:sz w:val="32"/>
          <w:szCs w:val="32"/>
          <w:highlight w:val="yellow"/>
        </w:rPr>
      </w:pPr>
      <w:r>
        <w:rPr>
          <w:rFonts w:hint="eastAsia" w:ascii="仿宋_GB2312" w:hAnsi="华文仿宋" w:eastAsia="仿宋_GB2312" w:cs="仿宋_GB2312"/>
          <w:color w:val="auto"/>
          <w:sz w:val="32"/>
          <w:szCs w:val="32"/>
          <w:highlight w:val="yellow"/>
          <w:lang w:val="en-US" w:eastAsia="zh-CN"/>
        </w:rPr>
        <w:t>1.</w:t>
      </w:r>
      <w:r>
        <w:rPr>
          <w:rFonts w:hint="eastAsia" w:ascii="仿宋_GB2312" w:hAnsi="仿宋_GB2312" w:eastAsia="仿宋_GB2312" w:cs="仿宋_GB2312"/>
          <w:color w:val="auto"/>
          <w:kern w:val="0"/>
          <w:sz w:val="32"/>
          <w:szCs w:val="32"/>
          <w:highlight w:val="yellow"/>
          <w:lang w:eastAsia="zh-CN"/>
        </w:rPr>
        <w:t>部分项目承接方</w:t>
      </w:r>
      <w:r>
        <w:rPr>
          <w:rFonts w:hint="eastAsia" w:ascii="仿宋_GB2312" w:hAnsi="仿宋_GB2312" w:eastAsia="仿宋_GB2312" w:cs="仿宋_GB2312"/>
          <w:color w:val="auto"/>
          <w:kern w:val="0"/>
          <w:sz w:val="32"/>
          <w:szCs w:val="32"/>
          <w:highlight w:val="yellow"/>
        </w:rPr>
        <w:t>未能按照合同约定完成项目建设任务的，</w:t>
      </w:r>
      <w:r>
        <w:rPr>
          <w:rFonts w:hint="eastAsia" w:ascii="仿宋_GB2312" w:hAnsi="仿宋_GB2312" w:eastAsia="仿宋_GB2312" w:cs="仿宋_GB2312"/>
          <w:color w:val="auto"/>
          <w:kern w:val="0"/>
          <w:sz w:val="32"/>
          <w:szCs w:val="32"/>
          <w:highlight w:val="yellow"/>
          <w:lang w:eastAsia="zh-CN"/>
        </w:rPr>
        <w:t>我局相关科室</w:t>
      </w:r>
      <w:r>
        <w:rPr>
          <w:rFonts w:hint="eastAsia" w:ascii="仿宋_GB2312" w:hAnsi="仿宋_GB2312" w:eastAsia="仿宋_GB2312" w:cs="仿宋_GB2312"/>
          <w:color w:val="auto"/>
          <w:kern w:val="0"/>
          <w:sz w:val="32"/>
          <w:szCs w:val="32"/>
          <w:highlight w:val="yellow"/>
        </w:rPr>
        <w:t>未能完成资金支付，资金使用效果存在问题。</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kern w:val="0"/>
          <w:sz w:val="32"/>
          <w:szCs w:val="32"/>
          <w:highlight w:val="none"/>
          <w:lang w:eastAsia="zh-CN"/>
        </w:rPr>
      </w:pPr>
      <w:r>
        <w:rPr>
          <w:rFonts w:hint="eastAsia" w:ascii="仿宋_GB2312" w:hAnsi="仿宋_GB2312" w:eastAsia="仿宋_GB2312" w:cs="仿宋_GB2312"/>
          <w:color w:val="auto"/>
          <w:kern w:val="0"/>
          <w:sz w:val="32"/>
          <w:szCs w:val="32"/>
          <w:highlight w:val="yellow"/>
          <w:lang w:val="en-US" w:eastAsia="zh-CN"/>
        </w:rPr>
        <w:t>2.</w:t>
      </w:r>
      <w:r>
        <w:rPr>
          <w:rFonts w:hint="eastAsia" w:ascii="仿宋_GB2312" w:hAnsi="仿宋_GB2312" w:eastAsia="仿宋_GB2312" w:cs="仿宋_GB2312"/>
          <w:b w:val="0"/>
          <w:bCs w:val="0"/>
          <w:color w:val="auto"/>
          <w:kern w:val="0"/>
          <w:sz w:val="32"/>
          <w:szCs w:val="32"/>
          <w:highlight w:val="yellow"/>
          <w:lang w:val="en-US" w:eastAsia="zh-CN"/>
        </w:rPr>
        <w:t>新增建设用地指标严重不足。导致部分重点项目、基础设施和民生工程等无法落地建设，成为制约我市发展的重要因素。</w:t>
      </w:r>
    </w:p>
    <w:p>
      <w:pPr>
        <w:keepNext w:val="0"/>
        <w:keepLines w:val="0"/>
        <w:pageBreakBefore w:val="0"/>
        <w:kinsoku/>
        <w:wordWrap/>
        <w:overflowPunct/>
        <w:topLinePunct w:val="0"/>
        <w:autoSpaceDE/>
        <w:autoSpaceDN/>
        <w:bidi w:val="0"/>
        <w:adjustRightInd/>
        <w:snapToGrid w:val="0"/>
        <w:spacing w:line="560" w:lineRule="exact"/>
        <w:ind w:firstLine="643" w:firstLineChars="200"/>
        <w:textAlignment w:val="auto"/>
        <w:rPr>
          <w:rFonts w:hint="eastAsia" w:ascii="楷体_GB2312" w:hAnsi="楷体_GB2312" w:eastAsia="楷体_GB2312" w:cs="楷体_GB2312"/>
          <w:b/>
          <w:bCs/>
          <w:color w:val="auto"/>
          <w:sz w:val="32"/>
          <w:szCs w:val="32"/>
          <w:highlight w:val="none"/>
        </w:rPr>
      </w:pPr>
      <w:r>
        <w:rPr>
          <w:rFonts w:hint="eastAsia" w:ascii="楷体_GB2312" w:hAnsi="楷体_GB2312" w:eastAsia="楷体_GB2312" w:cs="楷体_GB2312"/>
          <w:b/>
          <w:bCs/>
          <w:color w:val="auto"/>
          <w:sz w:val="32"/>
          <w:szCs w:val="32"/>
          <w:highlight w:val="none"/>
        </w:rPr>
        <w:t>(四）改进措施</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楷体_GB2312" w:hAnsi="楷体_GB2312" w:eastAsia="楷体_GB2312" w:cs="楷体_GB2312"/>
          <w:b/>
          <w:bCs/>
          <w:color w:val="auto"/>
          <w:sz w:val="32"/>
          <w:szCs w:val="32"/>
          <w:highlight w:val="none"/>
        </w:rPr>
      </w:pPr>
      <w:r>
        <w:rPr>
          <w:rFonts w:hint="eastAsia" w:ascii="仿宋_GB2312" w:hAnsi="华文仿宋" w:eastAsia="仿宋_GB2312" w:cs="仿宋_GB2312"/>
          <w:color w:val="auto"/>
          <w:sz w:val="32"/>
          <w:szCs w:val="32"/>
          <w:highlight w:val="none"/>
          <w:lang w:val="en-US" w:eastAsia="zh-CN"/>
        </w:rPr>
        <w:t>通过项目更精准预算，加快政府采购流程，简化项目报批手续，市财政资金保障到位，</w:t>
      </w:r>
      <w:r>
        <w:rPr>
          <w:rFonts w:hint="eastAsia" w:ascii="仿宋_GB2312" w:hAnsi="仿宋_GB2312" w:eastAsia="仿宋_GB2312" w:cs="仿宋_GB2312"/>
          <w:color w:val="auto"/>
          <w:kern w:val="0"/>
          <w:sz w:val="32"/>
          <w:szCs w:val="32"/>
          <w:highlight w:val="none"/>
        </w:rPr>
        <w:t>加强资金使用监督管理</w:t>
      </w:r>
      <w:r>
        <w:rPr>
          <w:rFonts w:hint="eastAsia" w:ascii="仿宋_GB2312" w:hAnsi="仿宋_GB2312" w:eastAsia="仿宋_GB2312" w:cs="仿宋_GB2312"/>
          <w:color w:val="auto"/>
          <w:kern w:val="0"/>
          <w:sz w:val="32"/>
          <w:szCs w:val="32"/>
          <w:highlight w:val="none"/>
          <w:lang w:eastAsia="zh-CN"/>
        </w:rPr>
        <w:t>等措施，</w:t>
      </w:r>
      <w:r>
        <w:rPr>
          <w:rFonts w:hint="eastAsia" w:ascii="仿宋_GB2312" w:hAnsi="仿宋_GB2312" w:eastAsia="仿宋_GB2312" w:cs="仿宋_GB2312"/>
          <w:color w:val="auto"/>
          <w:kern w:val="0"/>
          <w:sz w:val="32"/>
          <w:szCs w:val="32"/>
          <w:highlight w:val="none"/>
        </w:rPr>
        <w:t>提高资金使用效率。</w:t>
      </w:r>
      <w:r>
        <w:rPr>
          <w:rFonts w:hint="eastAsia" w:ascii="楷体_GB2312" w:hAnsi="楷体_GB2312" w:eastAsia="楷体_GB2312" w:cs="楷体_GB2312"/>
          <w:b/>
          <w:bCs/>
          <w:color w:val="auto"/>
          <w:sz w:val="32"/>
          <w:szCs w:val="32"/>
          <w:highlight w:val="none"/>
          <w:lang w:val="en-US" w:eastAsia="zh-CN"/>
        </w:rPr>
        <w:t xml:space="preserve"> </w:t>
      </w:r>
    </w:p>
    <w:p>
      <w:pPr>
        <w:keepNext w:val="0"/>
        <w:keepLines w:val="0"/>
        <w:pageBreakBefore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eastAsia"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其他自评情况</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宋体" w:eastAsia="仿宋_GB2312" w:cs="宋体"/>
          <w:color w:val="auto"/>
          <w:kern w:val="0"/>
          <w:sz w:val="32"/>
          <w:szCs w:val="32"/>
          <w:highlight w:val="none"/>
          <w:u w:val="none"/>
          <w:shd w:val="clear"/>
          <w:lang w:val="en-US" w:eastAsia="zh-CN" w:bidi="ar"/>
        </w:rPr>
      </w:pPr>
      <w:r>
        <w:rPr>
          <w:rFonts w:hint="eastAsia" w:ascii="仿宋_GB2312" w:hAnsi="宋体" w:eastAsia="仿宋_GB2312" w:cs="宋体"/>
          <w:color w:val="auto"/>
          <w:kern w:val="0"/>
          <w:sz w:val="32"/>
          <w:szCs w:val="32"/>
          <w:highlight w:val="none"/>
          <w:u w:val="none"/>
          <w:shd w:val="clear"/>
          <w:lang w:val="en-US" w:eastAsia="zh-CN" w:bidi="ar"/>
        </w:rPr>
        <w:t>无</w:t>
      </w:r>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218E08F-3094-4695-8C88-824361B2550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678C5DA4-DAFF-46A0-A657-450698F56A85}"/>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方正小标宋简体">
    <w:panose1 w:val="03000509000000000000"/>
    <w:charset w:val="86"/>
    <w:family w:val="auto"/>
    <w:pitch w:val="default"/>
    <w:sig w:usb0="00000001" w:usb1="080E0000" w:usb2="00000000" w:usb3="00000000" w:csb0="00040000" w:csb1="00000000"/>
    <w:embedRegular r:id="rId3" w:fontKey="{A5633C23-0FD7-4848-8B37-3522A30731D9}"/>
  </w:font>
  <w:font w:name="仿宋_GB2312">
    <w:panose1 w:val="02010609030101010101"/>
    <w:charset w:val="86"/>
    <w:family w:val="auto"/>
    <w:pitch w:val="default"/>
    <w:sig w:usb0="00000001" w:usb1="080E0000" w:usb2="00000000" w:usb3="00000000" w:csb0="00040000" w:csb1="00000000"/>
    <w:embedRegular r:id="rId4" w:fontKey="{F6FB18FD-C35A-41B9-B507-FDD4363123AD}"/>
  </w:font>
  <w:font w:name="华文仿宋">
    <w:panose1 w:val="02010600040101010101"/>
    <w:charset w:val="86"/>
    <w:family w:val="auto"/>
    <w:pitch w:val="default"/>
    <w:sig w:usb0="00000287" w:usb1="080F0000" w:usb2="00000000" w:usb3="00000000" w:csb0="0004009F" w:csb1="DFD70000"/>
    <w:embedRegular r:id="rId5" w:fontKey="{80B1078F-C4CA-446D-9A55-2497216E0DF6}"/>
  </w:font>
  <w:font w:name="仿宋">
    <w:panose1 w:val="02010609060101010101"/>
    <w:charset w:val="86"/>
    <w:family w:val="auto"/>
    <w:pitch w:val="default"/>
    <w:sig w:usb0="800002BF" w:usb1="38CF7CFA" w:usb2="00000016" w:usb3="00000000" w:csb0="00040001" w:csb1="00000000"/>
    <w:embedRegular r:id="rId6" w:fontKey="{3B94C248-3DBB-4D20-ACD7-F2157342A9B2}"/>
  </w:font>
  <w:font w:name="楷体_GB2312">
    <w:panose1 w:val="02010609030101010101"/>
    <w:charset w:val="86"/>
    <w:family w:val="modern"/>
    <w:pitch w:val="default"/>
    <w:sig w:usb0="00000001" w:usb1="080E0000" w:usb2="00000000" w:usb3="00000000" w:csb0="00040000" w:csb1="00000000"/>
    <w:embedRegular r:id="rId7" w:fontKey="{1EBA5C0E-AD64-42E1-AAD3-08AFF8DF6962}"/>
  </w:font>
  <w:font w:name="楷体">
    <w:panose1 w:val="02010609060101010101"/>
    <w:charset w:val="86"/>
    <w:family w:val="auto"/>
    <w:pitch w:val="default"/>
    <w:sig w:usb0="800002BF" w:usb1="38CF7CFA" w:usb2="00000016" w:usb3="00000000" w:csb0="00040001" w:csb1="00000000"/>
    <w:embedRegular r:id="rId8" w:fontKey="{EABEA170-61FA-4486-AE62-8065DA84B3ED}"/>
  </w:font>
  <w:font w:name="方正仿宋_GB2312">
    <w:panose1 w:val="02000000000000000000"/>
    <w:charset w:val="86"/>
    <w:family w:val="auto"/>
    <w:pitch w:val="default"/>
    <w:sig w:usb0="A00002BF" w:usb1="184F6CFA" w:usb2="00000012" w:usb3="00000000" w:csb0="00040001" w:csb1="00000000"/>
    <w:embedRegular r:id="rId9" w:fontKey="{C5785ADD-3998-4C3F-9763-019D4CD4B0E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F2540C"/>
    <w:multiLevelType w:val="singleLevel"/>
    <w:tmpl w:val="CDF2540C"/>
    <w:lvl w:ilvl="0" w:tentative="0">
      <w:start w:val="4"/>
      <w:numFmt w:val="chineseCounting"/>
      <w:suff w:val="nothing"/>
      <w:lvlText w:val="%1、"/>
      <w:lvlJc w:val="left"/>
      <w:rPr>
        <w:rFonts w:hint="eastAsia"/>
      </w:rPr>
    </w:lvl>
  </w:abstractNum>
  <w:abstractNum w:abstractNumId="1">
    <w:nsid w:val="5F154C76"/>
    <w:multiLevelType w:val="singleLevel"/>
    <w:tmpl w:val="5F154C76"/>
    <w:lvl w:ilvl="0" w:tentative="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7"/>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2ZWExMDIwMTAyNTlkY2I3MDQ0MGE2NzkwYzQ5NGQifQ=="/>
    <w:docVar w:name="KSO_WPS_MARK_KEY" w:val="4f7af047-9f2f-4f89-99b3-090f8cde7060"/>
  </w:docVars>
  <w:rsids>
    <w:rsidRoot w:val="00000000"/>
    <w:rsid w:val="000722ED"/>
    <w:rsid w:val="0083539B"/>
    <w:rsid w:val="00874460"/>
    <w:rsid w:val="008909E7"/>
    <w:rsid w:val="00990EE3"/>
    <w:rsid w:val="00EB2255"/>
    <w:rsid w:val="01216093"/>
    <w:rsid w:val="017538DF"/>
    <w:rsid w:val="01953710"/>
    <w:rsid w:val="01BE3D12"/>
    <w:rsid w:val="01E67607"/>
    <w:rsid w:val="02000D46"/>
    <w:rsid w:val="022247F8"/>
    <w:rsid w:val="02253EB5"/>
    <w:rsid w:val="022B43C6"/>
    <w:rsid w:val="029035CF"/>
    <w:rsid w:val="02B8121F"/>
    <w:rsid w:val="02FC593F"/>
    <w:rsid w:val="03810CCF"/>
    <w:rsid w:val="03945A00"/>
    <w:rsid w:val="03B409A2"/>
    <w:rsid w:val="03D63E58"/>
    <w:rsid w:val="0457061A"/>
    <w:rsid w:val="04A64D41"/>
    <w:rsid w:val="04C82CB9"/>
    <w:rsid w:val="05097347"/>
    <w:rsid w:val="05153D31"/>
    <w:rsid w:val="05221DF5"/>
    <w:rsid w:val="05304D59"/>
    <w:rsid w:val="05415CDA"/>
    <w:rsid w:val="058623D7"/>
    <w:rsid w:val="0589385E"/>
    <w:rsid w:val="05A31815"/>
    <w:rsid w:val="05B36F80"/>
    <w:rsid w:val="05D8131A"/>
    <w:rsid w:val="05FD7BF1"/>
    <w:rsid w:val="06190E71"/>
    <w:rsid w:val="062562C8"/>
    <w:rsid w:val="06257970"/>
    <w:rsid w:val="065B1151"/>
    <w:rsid w:val="06C30A24"/>
    <w:rsid w:val="06CD08F2"/>
    <w:rsid w:val="06E71DBC"/>
    <w:rsid w:val="06EB556E"/>
    <w:rsid w:val="07350087"/>
    <w:rsid w:val="07811FEE"/>
    <w:rsid w:val="084A0C8C"/>
    <w:rsid w:val="08A076BA"/>
    <w:rsid w:val="08A45CFD"/>
    <w:rsid w:val="08AA27AF"/>
    <w:rsid w:val="08BA11E7"/>
    <w:rsid w:val="08CC4A1B"/>
    <w:rsid w:val="099E4BD3"/>
    <w:rsid w:val="0A651828"/>
    <w:rsid w:val="0A9E7F24"/>
    <w:rsid w:val="0AD77726"/>
    <w:rsid w:val="0AE04903"/>
    <w:rsid w:val="0B9806AE"/>
    <w:rsid w:val="0BB20732"/>
    <w:rsid w:val="0C1B2BC7"/>
    <w:rsid w:val="0C2858E7"/>
    <w:rsid w:val="0C9A00A2"/>
    <w:rsid w:val="0CDF0000"/>
    <w:rsid w:val="0CEE69E3"/>
    <w:rsid w:val="0CFB76CC"/>
    <w:rsid w:val="0D322239"/>
    <w:rsid w:val="0D665AE8"/>
    <w:rsid w:val="0D807C3B"/>
    <w:rsid w:val="0D8D4959"/>
    <w:rsid w:val="0DCA1505"/>
    <w:rsid w:val="0DCD726B"/>
    <w:rsid w:val="0E2337BA"/>
    <w:rsid w:val="0ECC359E"/>
    <w:rsid w:val="0ECE2D28"/>
    <w:rsid w:val="0F162585"/>
    <w:rsid w:val="0F171C90"/>
    <w:rsid w:val="0FAB0234"/>
    <w:rsid w:val="0FE352F4"/>
    <w:rsid w:val="0FFD2BCA"/>
    <w:rsid w:val="10515C2C"/>
    <w:rsid w:val="10685E88"/>
    <w:rsid w:val="107A4779"/>
    <w:rsid w:val="1084403C"/>
    <w:rsid w:val="10E923A3"/>
    <w:rsid w:val="10FE773C"/>
    <w:rsid w:val="11D0404B"/>
    <w:rsid w:val="11D70319"/>
    <w:rsid w:val="125833D6"/>
    <w:rsid w:val="125910CE"/>
    <w:rsid w:val="13044F07"/>
    <w:rsid w:val="132A1D90"/>
    <w:rsid w:val="132B5BC9"/>
    <w:rsid w:val="139C5335"/>
    <w:rsid w:val="13B725CF"/>
    <w:rsid w:val="13BC69EE"/>
    <w:rsid w:val="143B6FBB"/>
    <w:rsid w:val="14520993"/>
    <w:rsid w:val="14561AA3"/>
    <w:rsid w:val="14A551F1"/>
    <w:rsid w:val="14FC21E4"/>
    <w:rsid w:val="150B19E1"/>
    <w:rsid w:val="151955DA"/>
    <w:rsid w:val="151B12D0"/>
    <w:rsid w:val="151E07E1"/>
    <w:rsid w:val="15427DB1"/>
    <w:rsid w:val="1543670A"/>
    <w:rsid w:val="157E5BC8"/>
    <w:rsid w:val="158C42C5"/>
    <w:rsid w:val="16451A09"/>
    <w:rsid w:val="16D135BA"/>
    <w:rsid w:val="16F47617"/>
    <w:rsid w:val="172F087B"/>
    <w:rsid w:val="173C177A"/>
    <w:rsid w:val="17F1266A"/>
    <w:rsid w:val="186D58D3"/>
    <w:rsid w:val="1896572A"/>
    <w:rsid w:val="18D3233A"/>
    <w:rsid w:val="19AF1F1B"/>
    <w:rsid w:val="19C072F0"/>
    <w:rsid w:val="19F10CE6"/>
    <w:rsid w:val="19FC7508"/>
    <w:rsid w:val="1A1A3103"/>
    <w:rsid w:val="1A31058C"/>
    <w:rsid w:val="1A5478EF"/>
    <w:rsid w:val="1A5C1E09"/>
    <w:rsid w:val="1A6A7BF0"/>
    <w:rsid w:val="1A805EFA"/>
    <w:rsid w:val="1AC025A4"/>
    <w:rsid w:val="1B432FF8"/>
    <w:rsid w:val="1B5D0D2B"/>
    <w:rsid w:val="1C371580"/>
    <w:rsid w:val="1C574FB2"/>
    <w:rsid w:val="1C8618DB"/>
    <w:rsid w:val="1C9C4394"/>
    <w:rsid w:val="1CAC717C"/>
    <w:rsid w:val="1CCF3836"/>
    <w:rsid w:val="1CE3621E"/>
    <w:rsid w:val="1CED17D2"/>
    <w:rsid w:val="1D186549"/>
    <w:rsid w:val="1D391C4A"/>
    <w:rsid w:val="1DC17D86"/>
    <w:rsid w:val="1DD72C40"/>
    <w:rsid w:val="1E243EE4"/>
    <w:rsid w:val="1E410E6C"/>
    <w:rsid w:val="1F627AE6"/>
    <w:rsid w:val="1FAF2A27"/>
    <w:rsid w:val="1FE057A8"/>
    <w:rsid w:val="1FEF36E2"/>
    <w:rsid w:val="2036312F"/>
    <w:rsid w:val="20F84989"/>
    <w:rsid w:val="21385D44"/>
    <w:rsid w:val="214745FE"/>
    <w:rsid w:val="215B5687"/>
    <w:rsid w:val="21740AB5"/>
    <w:rsid w:val="21AA7BF3"/>
    <w:rsid w:val="21BE2CFB"/>
    <w:rsid w:val="21FB4FF2"/>
    <w:rsid w:val="22174B37"/>
    <w:rsid w:val="22632D9F"/>
    <w:rsid w:val="22AE578D"/>
    <w:rsid w:val="22AF2235"/>
    <w:rsid w:val="23025951"/>
    <w:rsid w:val="234D2C86"/>
    <w:rsid w:val="23533A67"/>
    <w:rsid w:val="236A78B5"/>
    <w:rsid w:val="23803828"/>
    <w:rsid w:val="23BC35D7"/>
    <w:rsid w:val="24012594"/>
    <w:rsid w:val="2413599E"/>
    <w:rsid w:val="24523419"/>
    <w:rsid w:val="246751E9"/>
    <w:rsid w:val="246C359E"/>
    <w:rsid w:val="249E0BC2"/>
    <w:rsid w:val="24E6752C"/>
    <w:rsid w:val="24FB5253"/>
    <w:rsid w:val="25270BB7"/>
    <w:rsid w:val="25621D5C"/>
    <w:rsid w:val="257126F2"/>
    <w:rsid w:val="25F80C89"/>
    <w:rsid w:val="26414697"/>
    <w:rsid w:val="26566513"/>
    <w:rsid w:val="268A43F2"/>
    <w:rsid w:val="26A7586F"/>
    <w:rsid w:val="26AC1849"/>
    <w:rsid w:val="26C605AA"/>
    <w:rsid w:val="26F5142A"/>
    <w:rsid w:val="26FF3B17"/>
    <w:rsid w:val="27126589"/>
    <w:rsid w:val="272F6449"/>
    <w:rsid w:val="27435D7D"/>
    <w:rsid w:val="27BA42E7"/>
    <w:rsid w:val="27C76682"/>
    <w:rsid w:val="27CB1832"/>
    <w:rsid w:val="27DD790A"/>
    <w:rsid w:val="281C41D3"/>
    <w:rsid w:val="2824776B"/>
    <w:rsid w:val="282835C4"/>
    <w:rsid w:val="285C449A"/>
    <w:rsid w:val="28770324"/>
    <w:rsid w:val="28807248"/>
    <w:rsid w:val="28AC0C89"/>
    <w:rsid w:val="28C55083"/>
    <w:rsid w:val="28DB741F"/>
    <w:rsid w:val="28E031F7"/>
    <w:rsid w:val="290043AF"/>
    <w:rsid w:val="2929264D"/>
    <w:rsid w:val="29391455"/>
    <w:rsid w:val="294B54A9"/>
    <w:rsid w:val="29A24C52"/>
    <w:rsid w:val="29A72D10"/>
    <w:rsid w:val="29C75CB3"/>
    <w:rsid w:val="29CB765C"/>
    <w:rsid w:val="2A2626BC"/>
    <w:rsid w:val="2A8F792B"/>
    <w:rsid w:val="2AAF4A1B"/>
    <w:rsid w:val="2B1B4FFB"/>
    <w:rsid w:val="2B564D35"/>
    <w:rsid w:val="2C2A2E25"/>
    <w:rsid w:val="2C503BE5"/>
    <w:rsid w:val="2C516C21"/>
    <w:rsid w:val="2C56329F"/>
    <w:rsid w:val="2CA1675F"/>
    <w:rsid w:val="2D2747C4"/>
    <w:rsid w:val="2D3D5760"/>
    <w:rsid w:val="2D576D6E"/>
    <w:rsid w:val="2D704B2A"/>
    <w:rsid w:val="2D772050"/>
    <w:rsid w:val="2DDF57D9"/>
    <w:rsid w:val="2DF97D72"/>
    <w:rsid w:val="2E152ACD"/>
    <w:rsid w:val="2E4544DE"/>
    <w:rsid w:val="2E7B1840"/>
    <w:rsid w:val="2E814DEB"/>
    <w:rsid w:val="2E8B1AD7"/>
    <w:rsid w:val="2EB949ED"/>
    <w:rsid w:val="2EC33D8E"/>
    <w:rsid w:val="2EED1894"/>
    <w:rsid w:val="2EF473A0"/>
    <w:rsid w:val="2F1D2D71"/>
    <w:rsid w:val="2F383E2C"/>
    <w:rsid w:val="2F4B0F86"/>
    <w:rsid w:val="2FB02522"/>
    <w:rsid w:val="2FB60CE2"/>
    <w:rsid w:val="2FDE6CBE"/>
    <w:rsid w:val="300A3B92"/>
    <w:rsid w:val="301012C5"/>
    <w:rsid w:val="3045026D"/>
    <w:rsid w:val="305F3622"/>
    <w:rsid w:val="306849A6"/>
    <w:rsid w:val="30A12387"/>
    <w:rsid w:val="30B07FCF"/>
    <w:rsid w:val="30BA242F"/>
    <w:rsid w:val="30BF582F"/>
    <w:rsid w:val="30D61ABA"/>
    <w:rsid w:val="31005E95"/>
    <w:rsid w:val="312C10F5"/>
    <w:rsid w:val="31625E07"/>
    <w:rsid w:val="318068BD"/>
    <w:rsid w:val="31842CCC"/>
    <w:rsid w:val="31C24560"/>
    <w:rsid w:val="31F36CFA"/>
    <w:rsid w:val="320312D0"/>
    <w:rsid w:val="32264D7D"/>
    <w:rsid w:val="32735C84"/>
    <w:rsid w:val="32A64354"/>
    <w:rsid w:val="32AA5CF9"/>
    <w:rsid w:val="32AC2805"/>
    <w:rsid w:val="33140E1D"/>
    <w:rsid w:val="338136C9"/>
    <w:rsid w:val="33B82F69"/>
    <w:rsid w:val="33C770DC"/>
    <w:rsid w:val="3401681C"/>
    <w:rsid w:val="341C3BC7"/>
    <w:rsid w:val="349602BA"/>
    <w:rsid w:val="34BB05A9"/>
    <w:rsid w:val="34C7229A"/>
    <w:rsid w:val="34EF0FC6"/>
    <w:rsid w:val="34F85E5F"/>
    <w:rsid w:val="353A5FA1"/>
    <w:rsid w:val="35CE02CD"/>
    <w:rsid w:val="35D04C4E"/>
    <w:rsid w:val="35DF4C22"/>
    <w:rsid w:val="360F2D06"/>
    <w:rsid w:val="37013FCE"/>
    <w:rsid w:val="37252417"/>
    <w:rsid w:val="373A2B38"/>
    <w:rsid w:val="373D2FD0"/>
    <w:rsid w:val="37431EDD"/>
    <w:rsid w:val="375B3C95"/>
    <w:rsid w:val="375E4ACB"/>
    <w:rsid w:val="37C859DF"/>
    <w:rsid w:val="37D02AFB"/>
    <w:rsid w:val="37F56539"/>
    <w:rsid w:val="37F604A8"/>
    <w:rsid w:val="38077F6A"/>
    <w:rsid w:val="3835453C"/>
    <w:rsid w:val="38743CBC"/>
    <w:rsid w:val="3895731C"/>
    <w:rsid w:val="38C1696E"/>
    <w:rsid w:val="391010D0"/>
    <w:rsid w:val="395B13F5"/>
    <w:rsid w:val="397D6DB3"/>
    <w:rsid w:val="398546BA"/>
    <w:rsid w:val="39BE6361"/>
    <w:rsid w:val="39CC1B60"/>
    <w:rsid w:val="3A284413"/>
    <w:rsid w:val="3A365351"/>
    <w:rsid w:val="3A5127DC"/>
    <w:rsid w:val="3A887134"/>
    <w:rsid w:val="3A8E24D9"/>
    <w:rsid w:val="3AF1654D"/>
    <w:rsid w:val="3B0F585D"/>
    <w:rsid w:val="3B5D38BB"/>
    <w:rsid w:val="3B6F02A6"/>
    <w:rsid w:val="3C6630EE"/>
    <w:rsid w:val="3CA164FA"/>
    <w:rsid w:val="3CA21BCE"/>
    <w:rsid w:val="3CF669D6"/>
    <w:rsid w:val="3D1141CF"/>
    <w:rsid w:val="3D4A2B96"/>
    <w:rsid w:val="3D654F12"/>
    <w:rsid w:val="3E114112"/>
    <w:rsid w:val="3E5D7B5B"/>
    <w:rsid w:val="3E611B5E"/>
    <w:rsid w:val="3E637C5C"/>
    <w:rsid w:val="3E8275FC"/>
    <w:rsid w:val="3ECE68E7"/>
    <w:rsid w:val="3EDA6FEC"/>
    <w:rsid w:val="3EEC410D"/>
    <w:rsid w:val="3EFC4B74"/>
    <w:rsid w:val="3F0008B2"/>
    <w:rsid w:val="3F4A23E5"/>
    <w:rsid w:val="3F6F7798"/>
    <w:rsid w:val="3F7C79BF"/>
    <w:rsid w:val="3FE56278"/>
    <w:rsid w:val="3FFE6594"/>
    <w:rsid w:val="40D3552A"/>
    <w:rsid w:val="40D763ED"/>
    <w:rsid w:val="40F120CC"/>
    <w:rsid w:val="412912C3"/>
    <w:rsid w:val="414B48CA"/>
    <w:rsid w:val="415D3B36"/>
    <w:rsid w:val="41633653"/>
    <w:rsid w:val="41783490"/>
    <w:rsid w:val="418C00D1"/>
    <w:rsid w:val="41E61EBE"/>
    <w:rsid w:val="421A502B"/>
    <w:rsid w:val="423004C9"/>
    <w:rsid w:val="42301411"/>
    <w:rsid w:val="425B7777"/>
    <w:rsid w:val="42823148"/>
    <w:rsid w:val="42B53034"/>
    <w:rsid w:val="43051FA3"/>
    <w:rsid w:val="43A126F0"/>
    <w:rsid w:val="43B930F8"/>
    <w:rsid w:val="43C264DC"/>
    <w:rsid w:val="43EF47DE"/>
    <w:rsid w:val="44214788"/>
    <w:rsid w:val="44544CF1"/>
    <w:rsid w:val="448765F1"/>
    <w:rsid w:val="44A55DFF"/>
    <w:rsid w:val="44AE3515"/>
    <w:rsid w:val="4535442A"/>
    <w:rsid w:val="454964A8"/>
    <w:rsid w:val="454E094A"/>
    <w:rsid w:val="45795917"/>
    <w:rsid w:val="45BF58D1"/>
    <w:rsid w:val="45EC7F2B"/>
    <w:rsid w:val="46181CFE"/>
    <w:rsid w:val="461E2BFD"/>
    <w:rsid w:val="4631170D"/>
    <w:rsid w:val="464777B9"/>
    <w:rsid w:val="46EF7761"/>
    <w:rsid w:val="46F6518D"/>
    <w:rsid w:val="4756141A"/>
    <w:rsid w:val="47571B04"/>
    <w:rsid w:val="476F03F7"/>
    <w:rsid w:val="477041E8"/>
    <w:rsid w:val="47760C11"/>
    <w:rsid w:val="479166A3"/>
    <w:rsid w:val="48163D83"/>
    <w:rsid w:val="483004BB"/>
    <w:rsid w:val="484F656B"/>
    <w:rsid w:val="48CF5ACE"/>
    <w:rsid w:val="49150212"/>
    <w:rsid w:val="492D5197"/>
    <w:rsid w:val="494D42D7"/>
    <w:rsid w:val="495B436F"/>
    <w:rsid w:val="4963161F"/>
    <w:rsid w:val="496F2830"/>
    <w:rsid w:val="49A66458"/>
    <w:rsid w:val="49E27320"/>
    <w:rsid w:val="4A784500"/>
    <w:rsid w:val="4AC615D3"/>
    <w:rsid w:val="4AE140F5"/>
    <w:rsid w:val="4B04013C"/>
    <w:rsid w:val="4B367AD7"/>
    <w:rsid w:val="4B4A1D25"/>
    <w:rsid w:val="4B6132A4"/>
    <w:rsid w:val="4B7B4D8D"/>
    <w:rsid w:val="4BA04482"/>
    <w:rsid w:val="4BC47A4D"/>
    <w:rsid w:val="4BDA6FFC"/>
    <w:rsid w:val="4BF53578"/>
    <w:rsid w:val="4C0807B0"/>
    <w:rsid w:val="4C3B79CF"/>
    <w:rsid w:val="4D0A7712"/>
    <w:rsid w:val="4D5D52AC"/>
    <w:rsid w:val="4DA62E92"/>
    <w:rsid w:val="4DE25BF7"/>
    <w:rsid w:val="4E07362D"/>
    <w:rsid w:val="4E7B0C8A"/>
    <w:rsid w:val="4EA57D8B"/>
    <w:rsid w:val="4F4A4953"/>
    <w:rsid w:val="4F5D10A8"/>
    <w:rsid w:val="4F6665FD"/>
    <w:rsid w:val="4FA60AAE"/>
    <w:rsid w:val="4FB676D9"/>
    <w:rsid w:val="4FFD7B12"/>
    <w:rsid w:val="50500EC9"/>
    <w:rsid w:val="50611ADF"/>
    <w:rsid w:val="50BD740F"/>
    <w:rsid w:val="50D05747"/>
    <w:rsid w:val="50FA691B"/>
    <w:rsid w:val="511677FE"/>
    <w:rsid w:val="516D3A5C"/>
    <w:rsid w:val="518F4D47"/>
    <w:rsid w:val="51A0120A"/>
    <w:rsid w:val="51A62256"/>
    <w:rsid w:val="51BF51C3"/>
    <w:rsid w:val="523744B1"/>
    <w:rsid w:val="52392E23"/>
    <w:rsid w:val="523C0EC6"/>
    <w:rsid w:val="52AE5BCF"/>
    <w:rsid w:val="52FA55B1"/>
    <w:rsid w:val="5376358C"/>
    <w:rsid w:val="53E60D22"/>
    <w:rsid w:val="53FA7065"/>
    <w:rsid w:val="54052718"/>
    <w:rsid w:val="541256A8"/>
    <w:rsid w:val="54977258"/>
    <w:rsid w:val="54A71C86"/>
    <w:rsid w:val="54A73B3A"/>
    <w:rsid w:val="54AD4C05"/>
    <w:rsid w:val="54DF110B"/>
    <w:rsid w:val="54EB17C9"/>
    <w:rsid w:val="5516416C"/>
    <w:rsid w:val="552959EB"/>
    <w:rsid w:val="55B1566E"/>
    <w:rsid w:val="55C20951"/>
    <w:rsid w:val="55DB5947"/>
    <w:rsid w:val="562F19BA"/>
    <w:rsid w:val="565D7F29"/>
    <w:rsid w:val="56CB3012"/>
    <w:rsid w:val="57041128"/>
    <w:rsid w:val="570C4C31"/>
    <w:rsid w:val="572515C9"/>
    <w:rsid w:val="57327266"/>
    <w:rsid w:val="5796200E"/>
    <w:rsid w:val="57A41402"/>
    <w:rsid w:val="57A97785"/>
    <w:rsid w:val="57CD3F1A"/>
    <w:rsid w:val="57D03585"/>
    <w:rsid w:val="57FC5D75"/>
    <w:rsid w:val="58395E34"/>
    <w:rsid w:val="58B663C5"/>
    <w:rsid w:val="58E629E9"/>
    <w:rsid w:val="594D3F55"/>
    <w:rsid w:val="59576942"/>
    <w:rsid w:val="597E4D8C"/>
    <w:rsid w:val="59EF5904"/>
    <w:rsid w:val="59F01077"/>
    <w:rsid w:val="5A3445DE"/>
    <w:rsid w:val="5A4647FA"/>
    <w:rsid w:val="5AA31F13"/>
    <w:rsid w:val="5AA32FAC"/>
    <w:rsid w:val="5AAA2248"/>
    <w:rsid w:val="5C082C83"/>
    <w:rsid w:val="5C1F71D7"/>
    <w:rsid w:val="5C753FB9"/>
    <w:rsid w:val="5CC43BF9"/>
    <w:rsid w:val="5CDC6D58"/>
    <w:rsid w:val="5CF838A4"/>
    <w:rsid w:val="5D0E2352"/>
    <w:rsid w:val="5D2754FD"/>
    <w:rsid w:val="5D555C34"/>
    <w:rsid w:val="5D750C36"/>
    <w:rsid w:val="5DC150C6"/>
    <w:rsid w:val="5DD32D2E"/>
    <w:rsid w:val="5DED6BD5"/>
    <w:rsid w:val="5E136C35"/>
    <w:rsid w:val="5E2549D7"/>
    <w:rsid w:val="5E466C37"/>
    <w:rsid w:val="5E696B48"/>
    <w:rsid w:val="5E8D47F6"/>
    <w:rsid w:val="5EA722AC"/>
    <w:rsid w:val="5EE44E48"/>
    <w:rsid w:val="5EFF1E1E"/>
    <w:rsid w:val="5F0C3ED2"/>
    <w:rsid w:val="5F356315"/>
    <w:rsid w:val="5F3F6522"/>
    <w:rsid w:val="5F6E059E"/>
    <w:rsid w:val="5F7D24A6"/>
    <w:rsid w:val="5F7E0196"/>
    <w:rsid w:val="5FCA6CBB"/>
    <w:rsid w:val="603C2321"/>
    <w:rsid w:val="60563BCB"/>
    <w:rsid w:val="60574DE3"/>
    <w:rsid w:val="605A3564"/>
    <w:rsid w:val="60E95890"/>
    <w:rsid w:val="60ED4A7E"/>
    <w:rsid w:val="61482125"/>
    <w:rsid w:val="61B708C3"/>
    <w:rsid w:val="62490087"/>
    <w:rsid w:val="628D4D37"/>
    <w:rsid w:val="637577EB"/>
    <w:rsid w:val="63DE2FD2"/>
    <w:rsid w:val="640F2187"/>
    <w:rsid w:val="644316D3"/>
    <w:rsid w:val="644A456D"/>
    <w:rsid w:val="644A5F59"/>
    <w:rsid w:val="64A97FE7"/>
    <w:rsid w:val="64E6245C"/>
    <w:rsid w:val="654021B3"/>
    <w:rsid w:val="655E5CCC"/>
    <w:rsid w:val="657938F5"/>
    <w:rsid w:val="65C23C8B"/>
    <w:rsid w:val="66040983"/>
    <w:rsid w:val="66AA2263"/>
    <w:rsid w:val="66AC139B"/>
    <w:rsid w:val="66B651D1"/>
    <w:rsid w:val="67053F97"/>
    <w:rsid w:val="67246DD4"/>
    <w:rsid w:val="674A5BC5"/>
    <w:rsid w:val="675A6730"/>
    <w:rsid w:val="67714C5C"/>
    <w:rsid w:val="67C63EE6"/>
    <w:rsid w:val="681E5857"/>
    <w:rsid w:val="68213FAA"/>
    <w:rsid w:val="68237221"/>
    <w:rsid w:val="682A66C2"/>
    <w:rsid w:val="6848251B"/>
    <w:rsid w:val="686A5E7C"/>
    <w:rsid w:val="68F36AC7"/>
    <w:rsid w:val="69083B28"/>
    <w:rsid w:val="69170AF6"/>
    <w:rsid w:val="696D7195"/>
    <w:rsid w:val="69FB5EC2"/>
    <w:rsid w:val="6A017CB8"/>
    <w:rsid w:val="6A394411"/>
    <w:rsid w:val="6A3E32A9"/>
    <w:rsid w:val="6A650D71"/>
    <w:rsid w:val="6A734D2C"/>
    <w:rsid w:val="6A7554EE"/>
    <w:rsid w:val="6A7F5332"/>
    <w:rsid w:val="6B0A6288"/>
    <w:rsid w:val="6B1159CD"/>
    <w:rsid w:val="6B57596B"/>
    <w:rsid w:val="6B584AAC"/>
    <w:rsid w:val="6B7D090D"/>
    <w:rsid w:val="6BA56C03"/>
    <w:rsid w:val="6C6C5E84"/>
    <w:rsid w:val="6C897AD9"/>
    <w:rsid w:val="6C9B7887"/>
    <w:rsid w:val="6CC72444"/>
    <w:rsid w:val="6CD04607"/>
    <w:rsid w:val="6D136ABB"/>
    <w:rsid w:val="6D26688B"/>
    <w:rsid w:val="6D421B8F"/>
    <w:rsid w:val="6D7D1237"/>
    <w:rsid w:val="6D9A39A9"/>
    <w:rsid w:val="6D9A77CC"/>
    <w:rsid w:val="6DCB4436"/>
    <w:rsid w:val="6DD93399"/>
    <w:rsid w:val="6E8D6E01"/>
    <w:rsid w:val="6E9E25BB"/>
    <w:rsid w:val="6ECE4FF5"/>
    <w:rsid w:val="6ED47835"/>
    <w:rsid w:val="6EE37BCC"/>
    <w:rsid w:val="6F5C3BA2"/>
    <w:rsid w:val="6FD2056A"/>
    <w:rsid w:val="702D6254"/>
    <w:rsid w:val="702E23C7"/>
    <w:rsid w:val="708D524D"/>
    <w:rsid w:val="70BB6EA2"/>
    <w:rsid w:val="70FB6AE2"/>
    <w:rsid w:val="713B585D"/>
    <w:rsid w:val="71746D3B"/>
    <w:rsid w:val="71C607AE"/>
    <w:rsid w:val="71CB42F4"/>
    <w:rsid w:val="71FD7CBD"/>
    <w:rsid w:val="72006369"/>
    <w:rsid w:val="720724EF"/>
    <w:rsid w:val="720F447A"/>
    <w:rsid w:val="721277AC"/>
    <w:rsid w:val="721A3E00"/>
    <w:rsid w:val="7259540F"/>
    <w:rsid w:val="72717881"/>
    <w:rsid w:val="72AE3C93"/>
    <w:rsid w:val="72E40F56"/>
    <w:rsid w:val="72EC61AE"/>
    <w:rsid w:val="72F3599A"/>
    <w:rsid w:val="7321017E"/>
    <w:rsid w:val="73682B8A"/>
    <w:rsid w:val="736B3932"/>
    <w:rsid w:val="73854B30"/>
    <w:rsid w:val="73BC25A8"/>
    <w:rsid w:val="73D56FFD"/>
    <w:rsid w:val="740A6EEC"/>
    <w:rsid w:val="7452612F"/>
    <w:rsid w:val="745A6C76"/>
    <w:rsid w:val="74792966"/>
    <w:rsid w:val="747B6DC4"/>
    <w:rsid w:val="74C85BCC"/>
    <w:rsid w:val="74E060D9"/>
    <w:rsid w:val="74F30381"/>
    <w:rsid w:val="757A6EFB"/>
    <w:rsid w:val="758D3689"/>
    <w:rsid w:val="760F7E33"/>
    <w:rsid w:val="763C5E8D"/>
    <w:rsid w:val="764B53F9"/>
    <w:rsid w:val="764B6F50"/>
    <w:rsid w:val="768E3E75"/>
    <w:rsid w:val="76A24C9B"/>
    <w:rsid w:val="76C81625"/>
    <w:rsid w:val="76F44183"/>
    <w:rsid w:val="76F462BF"/>
    <w:rsid w:val="773C4F6C"/>
    <w:rsid w:val="773E51B4"/>
    <w:rsid w:val="776B35C0"/>
    <w:rsid w:val="777A790A"/>
    <w:rsid w:val="778F7405"/>
    <w:rsid w:val="77A26E58"/>
    <w:rsid w:val="77E6002F"/>
    <w:rsid w:val="78045C7B"/>
    <w:rsid w:val="78193A9C"/>
    <w:rsid w:val="7828461D"/>
    <w:rsid w:val="785F6FE3"/>
    <w:rsid w:val="785F7114"/>
    <w:rsid w:val="7890668A"/>
    <w:rsid w:val="78F56548"/>
    <w:rsid w:val="792B25FB"/>
    <w:rsid w:val="793C34E7"/>
    <w:rsid w:val="79A01CCD"/>
    <w:rsid w:val="79E43C19"/>
    <w:rsid w:val="79FE0DE3"/>
    <w:rsid w:val="7A572F20"/>
    <w:rsid w:val="7A7018BB"/>
    <w:rsid w:val="7A7A68F6"/>
    <w:rsid w:val="7A9545C0"/>
    <w:rsid w:val="7ACA0E6D"/>
    <w:rsid w:val="7AE24768"/>
    <w:rsid w:val="7B1A6F01"/>
    <w:rsid w:val="7B326C9D"/>
    <w:rsid w:val="7BA479E1"/>
    <w:rsid w:val="7BAF7AE2"/>
    <w:rsid w:val="7BB50A3A"/>
    <w:rsid w:val="7C3C7E0A"/>
    <w:rsid w:val="7C686925"/>
    <w:rsid w:val="7C6B3589"/>
    <w:rsid w:val="7C7B13FB"/>
    <w:rsid w:val="7C9E2E12"/>
    <w:rsid w:val="7CDC5382"/>
    <w:rsid w:val="7CDD29AA"/>
    <w:rsid w:val="7D4B2218"/>
    <w:rsid w:val="7D58148F"/>
    <w:rsid w:val="7D6B00B8"/>
    <w:rsid w:val="7D6E6986"/>
    <w:rsid w:val="7DBA4C1A"/>
    <w:rsid w:val="7E3A47C4"/>
    <w:rsid w:val="7E4F2D18"/>
    <w:rsid w:val="7E7F698E"/>
    <w:rsid w:val="7E8025D8"/>
    <w:rsid w:val="7EB20A65"/>
    <w:rsid w:val="7ECC6AB6"/>
    <w:rsid w:val="7EF62D93"/>
    <w:rsid w:val="7F1258F2"/>
    <w:rsid w:val="7F384026"/>
    <w:rsid w:val="7F661F01"/>
    <w:rsid w:val="7F723881"/>
    <w:rsid w:val="7FC95138"/>
    <w:rsid w:val="7FCF5C51"/>
    <w:rsid w:val="7FE646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1"/>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3">
    <w:name w:val="heading 3"/>
    <w:basedOn w:val="1"/>
    <w:next w:val="1"/>
    <w:qFormat/>
    <w:uiPriority w:val="9"/>
    <w:pPr>
      <w:keepNext/>
      <w:keepLines/>
      <w:spacing w:before="260" w:after="260" w:line="416" w:lineRule="auto"/>
      <w:outlineLvl w:val="2"/>
    </w:pPr>
    <w:rPr>
      <w:b/>
      <w:bCs/>
      <w:sz w:val="32"/>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ind w:left="169"/>
    </w:pPr>
    <w:rPr>
      <w:rFonts w:ascii="Arial Unicode MS" w:hAnsi="Arial Unicode MS" w:eastAsia="Arial Unicode MS" w:cs="Arial Unicode MS"/>
      <w:sz w:val="32"/>
      <w:szCs w:val="32"/>
      <w:lang w:val="zh-CN" w:eastAsia="zh-CN" w:bidi="zh-CN"/>
    </w:rPr>
  </w:style>
  <w:style w:type="paragraph" w:styleId="5">
    <w:name w:val="toc 3"/>
    <w:basedOn w:val="1"/>
    <w:next w:val="1"/>
    <w:qFormat/>
    <w:uiPriority w:val="0"/>
    <w:pPr>
      <w:ind w:left="840" w:leftChars="4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3">
    <w:name w:val="Strong"/>
    <w:basedOn w:val="12"/>
    <w:qFormat/>
    <w:uiPriority w:val="0"/>
    <w:rPr>
      <w:b/>
    </w:rPr>
  </w:style>
  <w:style w:type="character" w:styleId="14">
    <w:name w:val="Hyperlink"/>
    <w:unhideWhenUsed/>
    <w:qFormat/>
    <w:uiPriority w:val="99"/>
    <w:rPr>
      <w:color w:val="0000FF"/>
      <w:u w:val="single"/>
    </w:rPr>
  </w:style>
  <w:style w:type="paragraph" w:customStyle="1" w:styleId="15">
    <w:name w:val="_Style 1"/>
    <w:basedOn w:val="1"/>
    <w:qFormat/>
    <w:uiPriority w:val="0"/>
    <w:pPr>
      <w:ind w:firstLine="420" w:firstLineChars="200"/>
    </w:pPr>
  </w:style>
  <w:style w:type="paragraph" w:customStyle="1" w:styleId="16">
    <w:name w:val="Body text|1"/>
    <w:basedOn w:val="1"/>
    <w:qFormat/>
    <w:uiPriority w:val="0"/>
    <w:pPr>
      <w:widowControl w:val="0"/>
      <w:shd w:val="clear" w:color="auto" w:fill="auto"/>
      <w:spacing w:after="480"/>
      <w:jc w:val="center"/>
    </w:pPr>
    <w:rPr>
      <w:rFonts w:ascii="宋体" w:hAnsi="宋体" w:eastAsia="宋体" w:cs="宋体"/>
      <w:sz w:val="28"/>
      <w:szCs w:val="28"/>
      <w:u w:val="none"/>
      <w:shd w:val="clear" w:color="auto" w:fill="auto"/>
      <w:lang w:val="zh-TW" w:eastAsia="zh-TW" w:bidi="zh-TW"/>
    </w:rPr>
  </w:style>
  <w:style w:type="paragraph" w:customStyle="1" w:styleId="17">
    <w:name w:val="Header or footer|1"/>
    <w:basedOn w:val="1"/>
    <w:qFormat/>
    <w:uiPriority w:val="0"/>
    <w:pPr>
      <w:widowControl w:val="0"/>
      <w:shd w:val="clear" w:color="auto" w:fill="auto"/>
      <w:jc w:val="center"/>
    </w:pPr>
    <w:rPr>
      <w:sz w:val="18"/>
      <w:szCs w:val="18"/>
      <w:u w:val="none"/>
      <w:shd w:val="clear" w:color="auto" w:fill="auto"/>
      <w:lang w:val="zh-TW" w:eastAsia="zh-TW" w:bidi="zh-TW"/>
    </w:rPr>
  </w:style>
  <w:style w:type="character" w:customStyle="1" w:styleId="18">
    <w:name w:val="font01"/>
    <w:basedOn w:val="12"/>
    <w:qFormat/>
    <w:uiPriority w:val="0"/>
    <w:rPr>
      <w:rFonts w:hint="eastAsia" w:ascii="宋体" w:hAnsi="宋体" w:eastAsia="宋体" w:cs="宋体"/>
      <w:color w:val="000000"/>
      <w:sz w:val="26"/>
      <w:szCs w:val="26"/>
      <w:u w:val="none"/>
    </w:rPr>
  </w:style>
  <w:style w:type="character" w:customStyle="1" w:styleId="19">
    <w:name w:val="font31"/>
    <w:basedOn w:val="12"/>
    <w:qFormat/>
    <w:uiPriority w:val="0"/>
    <w:rPr>
      <w:rFonts w:hint="default" w:ascii="Times New Roman" w:hAnsi="Times New Roman" w:cs="Times New Roman"/>
      <w:color w:val="000000"/>
      <w:sz w:val="28"/>
      <w:szCs w:val="28"/>
      <w:u w:val="none"/>
    </w:rPr>
  </w:style>
  <w:style w:type="character" w:customStyle="1" w:styleId="20">
    <w:name w:val="font41"/>
    <w:basedOn w:val="12"/>
    <w:qFormat/>
    <w:uiPriority w:val="0"/>
    <w:rPr>
      <w:rFonts w:hint="eastAsia" w:ascii="宋体" w:hAnsi="宋体" w:eastAsia="宋体" w:cs="宋体"/>
      <w:color w:val="000000"/>
      <w:sz w:val="28"/>
      <w:szCs w:val="28"/>
      <w:u w:val="none"/>
    </w:rPr>
  </w:style>
  <w:style w:type="character" w:customStyle="1" w:styleId="21">
    <w:name w:val="NormalCharacter"/>
    <w:link w:val="1"/>
    <w:semiHidden/>
    <w:qFormat/>
    <w:uiPriority w:val="0"/>
    <w:rPr>
      <w:rFonts w:asciiTheme="minorHAnsi" w:hAnsiTheme="minorHAnsi" w:eastAsiaTheme="minorEastAsia" w:cstheme="minorBidi"/>
      <w:kern w:val="2"/>
      <w:sz w:val="21"/>
      <w:szCs w:val="24"/>
      <w:lang w:val="en-US" w:eastAsia="zh-CN" w:bidi="ar-SA"/>
    </w:rPr>
  </w:style>
  <w:style w:type="paragraph" w:customStyle="1" w:styleId="22">
    <w:name w:val="NormalIndent"/>
    <w:basedOn w:val="1"/>
    <w:next w:val="1"/>
    <w:qFormat/>
    <w:uiPriority w:val="0"/>
    <w:pPr>
      <w:ind w:firstLine="420" w:firstLineChars="200"/>
      <w:jc w:val="both"/>
      <w:textAlignment w:val="baseline"/>
    </w:pPr>
  </w:style>
  <w:style w:type="paragraph" w:customStyle="1" w:styleId="23">
    <w:name w:val="Other|1"/>
    <w:basedOn w:val="1"/>
    <w:qFormat/>
    <w:uiPriority w:val="0"/>
    <w:pPr>
      <w:widowControl w:val="0"/>
      <w:shd w:val="clear" w:color="auto" w:fill="auto"/>
      <w:spacing w:line="437" w:lineRule="auto"/>
      <w:ind w:firstLine="400"/>
    </w:pPr>
    <w:rPr>
      <w:rFonts w:ascii="宋体" w:hAnsi="宋体" w:eastAsia="宋体" w:cs="宋体"/>
      <w:sz w:val="30"/>
      <w:szCs w:val="30"/>
      <w:u w:val="none"/>
      <w:shd w:val="clear" w:color="auto" w:fill="auto"/>
      <w:lang w:val="zh-TW" w:eastAsia="zh-TW" w:bidi="zh-TW"/>
    </w:rPr>
  </w:style>
  <w:style w:type="paragraph" w:customStyle="1" w:styleId="24">
    <w:name w:val="Heading #1|1"/>
    <w:basedOn w:val="1"/>
    <w:qFormat/>
    <w:uiPriority w:val="0"/>
    <w:pPr>
      <w:widowControl w:val="0"/>
      <w:shd w:val="clear" w:color="auto" w:fill="auto"/>
      <w:spacing w:after="400"/>
      <w:jc w:val="center"/>
      <w:outlineLvl w:val="0"/>
    </w:pPr>
    <w:rPr>
      <w:rFonts w:ascii="宋体" w:hAnsi="宋体" w:eastAsia="宋体" w:cs="宋体"/>
      <w:sz w:val="32"/>
      <w:szCs w:val="32"/>
      <w:u w:val="none"/>
      <w:shd w:val="clear" w:color="auto" w:fill="auto"/>
      <w:lang w:val="zh-TW" w:eastAsia="zh-TW" w:bidi="zh-TW"/>
    </w:rPr>
  </w:style>
  <w:style w:type="paragraph" w:customStyle="1" w:styleId="25">
    <w:name w:val="Table of contents|1"/>
    <w:basedOn w:val="1"/>
    <w:qFormat/>
    <w:uiPriority w:val="0"/>
    <w:pPr>
      <w:widowControl w:val="0"/>
      <w:shd w:val="clear" w:color="auto" w:fill="auto"/>
      <w:spacing w:after="80"/>
    </w:pPr>
    <w:rPr>
      <w:rFonts w:ascii="宋体" w:hAnsi="宋体" w:eastAsia="宋体" w:cs="宋体"/>
      <w:u w:val="none"/>
      <w:shd w:val="clear" w:color="auto" w:fill="auto"/>
      <w:lang w:val="zh-TW" w:eastAsia="zh-TW" w:bidi="zh-TW"/>
    </w:rPr>
  </w:style>
  <w:style w:type="character" w:customStyle="1" w:styleId="26">
    <w:name w:val="font11"/>
    <w:basedOn w:val="12"/>
    <w:qFormat/>
    <w:uiPriority w:val="0"/>
    <w:rPr>
      <w:rFonts w:hint="eastAsia" w:ascii="宋体" w:hAnsi="宋体" w:eastAsia="宋体" w:cs="宋体"/>
      <w:color w:val="000000"/>
      <w:sz w:val="22"/>
      <w:szCs w:val="22"/>
      <w:u w:val="none"/>
    </w:rPr>
  </w:style>
  <w:style w:type="character" w:customStyle="1" w:styleId="27">
    <w:name w:val="font21"/>
    <w:basedOn w:val="12"/>
    <w:qFormat/>
    <w:uiPriority w:val="0"/>
    <w:rPr>
      <w:rFonts w:hint="default" w:ascii="Arial" w:hAnsi="Arial" w:cs="Arial"/>
      <w:color w:val="000000"/>
      <w:sz w:val="22"/>
      <w:szCs w:val="22"/>
      <w:u w:val="none"/>
    </w:rPr>
  </w:style>
  <w:style w:type="character" w:customStyle="1" w:styleId="28">
    <w:name w:val="font51"/>
    <w:basedOn w:val="12"/>
    <w:qFormat/>
    <w:uiPriority w:val="0"/>
    <w:rPr>
      <w:rFonts w:hint="default" w:ascii="Arial" w:hAnsi="Arial" w:cs="Arial"/>
      <w:color w:val="000000"/>
      <w:sz w:val="22"/>
      <w:szCs w:val="22"/>
      <w:u w:val="none"/>
    </w:rPr>
  </w:style>
  <w:style w:type="paragraph" w:customStyle="1" w:styleId="29">
    <w:name w:val="WPSOffice手动目录 1"/>
    <w:qFormat/>
    <w:uiPriority w:val="0"/>
    <w:pPr>
      <w:ind w:leftChars="0"/>
    </w:pPr>
    <w:rPr>
      <w:rFonts w:ascii="Times New Roman" w:hAnsi="Times New Roman" w:eastAsia="宋体" w:cs="Times New Roman"/>
      <w:sz w:val="20"/>
      <w:szCs w:val="20"/>
    </w:rPr>
  </w:style>
  <w:style w:type="paragraph" w:customStyle="1" w:styleId="30">
    <w:name w:val="WPSOffice手动目录 2"/>
    <w:qFormat/>
    <w:uiPriority w:val="0"/>
    <w:pPr>
      <w:ind w:leftChars="200"/>
    </w:pPr>
    <w:rPr>
      <w:rFonts w:ascii="Times New Roman" w:hAnsi="Times New Roman" w:eastAsia="宋体" w:cs="Times New Roman"/>
      <w:sz w:val="20"/>
      <w:szCs w:val="20"/>
    </w:rPr>
  </w:style>
  <w:style w:type="paragraph" w:customStyle="1" w:styleId="31">
    <w:name w:val="WPSOffice手动目录 3"/>
    <w:qFormat/>
    <w:uiPriority w:val="0"/>
    <w:pPr>
      <w:ind w:leftChars="400"/>
    </w:pPr>
    <w:rPr>
      <w:rFonts w:ascii="Times New Roman" w:hAnsi="Times New Roman" w:eastAsia="宋体" w:cs="Times New Roman"/>
      <w:sz w:val="20"/>
      <w:szCs w:val="20"/>
    </w:rPr>
  </w:style>
  <w:style w:type="paragraph" w:customStyle="1" w:styleId="32">
    <w:name w:val="默认"/>
    <w:qFormat/>
    <w:uiPriority w:val="0"/>
    <w:rPr>
      <w:rFonts w:ascii="Arial Unicode MS" w:hAnsi="Arial Unicode MS" w:eastAsia="Arial Unicode MS" w:cs="Arial Unicode MS"/>
      <w:color w:val="000000"/>
      <w:sz w:val="22"/>
      <w:szCs w:val="22"/>
      <w:lang w:val="zh-CN"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6921</Words>
  <Characters>7619</Characters>
  <Lines>0</Lines>
  <Paragraphs>0</Paragraphs>
  <TotalTime>118</TotalTime>
  <ScaleCrop>false</ScaleCrop>
  <LinksUpToDate>false</LinksUpToDate>
  <CharactersWithSpaces>7645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2021-11-28T11:06:00Z</dcterms:created>
  <dc:creator>Administrator</dc:creator>
  <cp:lastModifiedBy>Lyman</cp:lastModifiedBy>
  <cp:lastPrinted>2025-07-15T01:20:00Z</cp:lastPrinted>
  <dcterms:modified xsi:type="dcterms:W3CDTF">2026-07-14T08:44:25Z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669B346C283F42669C507C1451F78400</vt:lpwstr>
  </property>
  <property fmtid="{D5CDD505-2E9C-101B-9397-08002B2CF9AE}" pid="4" name="KSOTemplateDocerSaveRecord">
    <vt:lpwstr>eyJoZGlkIjoiZjY3YzFkOTg0MGExMmE4ODkzYjI4MmY3MDczZmNiOTUiLCJ1c2VySWQiOiI0ODIyNTk2NTIifQ==</vt:lpwstr>
  </property>
</Properties>
</file>