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A08BE">
      <w:pPr>
        <w:widowControl w:val="0"/>
        <w:kinsoku/>
        <w:autoSpaceDE/>
        <w:autoSpaceDN/>
        <w:adjustRightInd w:val="0"/>
        <w:snapToGrid w:val="0"/>
        <w:spacing w:line="360" w:lineRule="auto"/>
        <w:ind w:right="-110"/>
        <w:jc w:val="both"/>
        <w:textAlignment w:val="auto"/>
        <w:rPr>
          <w:rFonts w:hint="eastAsia" w:ascii="黑体" w:hAnsi="黑体" w:eastAsia="黑体" w:cs="黑体"/>
          <w:b w:val="0"/>
          <w:bCs/>
          <w:snapToGrid/>
          <w:kern w:val="2"/>
          <w:sz w:val="32"/>
          <w:szCs w:val="32"/>
          <w:lang w:eastAsia="zh-CN"/>
        </w:rPr>
      </w:pPr>
      <w:r>
        <w:rPr>
          <w:rFonts w:hint="eastAsia" w:ascii="黑体" w:hAnsi="黑体" w:eastAsia="黑体" w:cs="黑体"/>
          <w:b w:val="0"/>
          <w:bCs/>
          <w:snapToGrid/>
          <w:kern w:val="2"/>
          <w:sz w:val="32"/>
          <w:szCs w:val="32"/>
          <w:lang w:eastAsia="zh-CN"/>
        </w:rPr>
        <w:t>附件</w:t>
      </w:r>
      <w:r>
        <w:rPr>
          <w:rFonts w:hint="eastAsia" w:ascii="黑体" w:hAnsi="黑体" w:eastAsia="黑体" w:cs="黑体"/>
          <w:b w:val="0"/>
          <w:bCs/>
          <w:snapToGrid/>
          <w:kern w:val="2"/>
          <w:sz w:val="32"/>
          <w:szCs w:val="32"/>
          <w:lang w:val="en-US" w:eastAsia="zh-CN"/>
        </w:rPr>
        <w:t>1</w:t>
      </w:r>
      <w:r>
        <w:rPr>
          <w:rFonts w:hint="eastAsia" w:ascii="黑体" w:hAnsi="黑体" w:eastAsia="黑体" w:cs="黑体"/>
          <w:b w:val="0"/>
          <w:bCs/>
          <w:snapToGrid/>
          <w:kern w:val="2"/>
          <w:sz w:val="32"/>
          <w:szCs w:val="32"/>
          <w:lang w:eastAsia="zh-CN"/>
        </w:rPr>
        <w:t>：</w:t>
      </w:r>
    </w:p>
    <w:p w14:paraId="78646585">
      <w:pPr>
        <w:spacing w:before="107" w:line="223" w:lineRule="auto"/>
        <w:ind w:left="1132"/>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9"/>
          <w:sz w:val="44"/>
          <w:szCs w:val="44"/>
          <w14:textOutline w14:w="6350" w14:cap="flat" w14:cmpd="sng">
            <w14:solidFill>
              <w14:srgbClr w14:val="000000"/>
            </w14:solidFill>
            <w14:prstDash w14:val="solid"/>
            <w14:miter w14:val="0"/>
          </w14:textOutline>
        </w:rPr>
        <w:t>广东省消防安全重点单位界定标准</w:t>
      </w:r>
    </w:p>
    <w:p w14:paraId="35386BF1">
      <w:pPr>
        <w:spacing w:line="332" w:lineRule="auto"/>
        <w:rPr>
          <w:rFonts w:ascii="Arial"/>
          <w:sz w:val="21"/>
        </w:rPr>
      </w:pPr>
    </w:p>
    <w:p w14:paraId="2769A997">
      <w:pPr>
        <w:spacing w:line="333" w:lineRule="auto"/>
        <w:rPr>
          <w:rFonts w:ascii="Arial"/>
          <w:sz w:val="21"/>
        </w:rPr>
      </w:pPr>
    </w:p>
    <w:p w14:paraId="6A5C4824">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黑体" w:cs="Times New Roman"/>
          <w:b w:val="0"/>
          <w:bCs/>
          <w:snapToGrid/>
          <w:kern w:val="0"/>
          <w:sz w:val="32"/>
          <w:lang w:val="en-US" w:eastAsia="zh-CN"/>
        </w:rPr>
      </w:pPr>
      <w:r>
        <w:rPr>
          <w:rFonts w:hint="default" w:ascii="Times New Roman" w:hAnsi="Times New Roman" w:eastAsia="黑体" w:cs="Times New Roman"/>
          <w:b w:val="0"/>
          <w:bCs/>
          <w:snapToGrid/>
          <w:kern w:val="0"/>
          <w:sz w:val="32"/>
          <w:lang w:val="en-US" w:eastAsia="zh-CN"/>
        </w:rPr>
        <w:t>一、重要公共建筑：</w:t>
      </w:r>
    </w:p>
    <w:p w14:paraId="33380CF2">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（一）地市级及以上的党委、人大、政府、政协、人民检察院、人民法院</w:t>
      </w:r>
      <w:r>
        <w:rPr>
          <w:rFonts w:hint="eastAsia" w:eastAsia="仿宋_GB2312" w:cs="Times New Roman"/>
          <w:snapToGrid/>
          <w:kern w:val="0"/>
          <w:sz w:val="32"/>
          <w:lang w:val="en-US" w:eastAsia="zh-CN"/>
        </w:rPr>
        <w:t>；</w:t>
      </w:r>
    </w:p>
    <w:p w14:paraId="0DCD95D9">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（二）设计使用人数或座位数超过 1500 人（座）的体育馆、会堂、影剧院、公共娱乐场所、证券交易所等公共室内场所</w:t>
      </w:r>
      <w:r>
        <w:rPr>
          <w:rFonts w:hint="eastAsia" w:eastAsia="仿宋_GB2312" w:cs="Times New Roman"/>
          <w:snapToGrid/>
          <w:kern w:val="0"/>
          <w:sz w:val="32"/>
          <w:lang w:val="en-US" w:eastAsia="zh-CN"/>
        </w:rPr>
        <w:t>；</w:t>
      </w:r>
    </w:p>
    <w:p w14:paraId="41BBEDF9">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（三）藏书量超过 50 万册的图书馆</w:t>
      </w:r>
      <w:r>
        <w:rPr>
          <w:rFonts w:hint="eastAsia" w:eastAsia="仿宋_GB2312" w:cs="Times New Roman"/>
          <w:snapToGrid/>
          <w:kern w:val="0"/>
          <w:sz w:val="32"/>
          <w:lang w:val="en-US" w:eastAsia="zh-CN"/>
        </w:rPr>
        <w:t>；</w:t>
      </w:r>
    </w:p>
    <w:p w14:paraId="0ABAA2E5">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（四）地市级及以上，且设有不可移动建筑物的文物保护单位</w:t>
      </w:r>
      <w:r>
        <w:rPr>
          <w:rFonts w:hint="eastAsia" w:eastAsia="仿宋_GB2312" w:cs="Times New Roman"/>
          <w:snapToGrid/>
          <w:kern w:val="0"/>
          <w:sz w:val="32"/>
          <w:lang w:val="en-US" w:eastAsia="zh-CN"/>
        </w:rPr>
        <w:t>；</w:t>
      </w:r>
    </w:p>
    <w:p w14:paraId="6FBCD0E2">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（五）地市级及以上博物馆、展览馆、档案馆</w:t>
      </w:r>
      <w:r>
        <w:rPr>
          <w:rFonts w:hint="eastAsia" w:eastAsia="仿宋_GB2312" w:cs="Times New Roman"/>
          <w:snapToGrid/>
          <w:kern w:val="0"/>
          <w:sz w:val="32"/>
          <w:lang w:val="en-US" w:eastAsia="zh-CN"/>
        </w:rPr>
        <w:t>；</w:t>
      </w:r>
    </w:p>
    <w:p w14:paraId="1B38D9AF">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（六）省级及以上的银行等金融机构</w:t>
      </w:r>
      <w:r>
        <w:rPr>
          <w:rFonts w:hint="eastAsia" w:eastAsia="仿宋_GB2312" w:cs="Times New Roman"/>
          <w:snapToGrid/>
          <w:kern w:val="0"/>
          <w:sz w:val="32"/>
          <w:lang w:val="en-US" w:eastAsia="zh-CN"/>
        </w:rPr>
        <w:t>；</w:t>
      </w:r>
    </w:p>
    <w:p w14:paraId="767A76AD">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（七）省级及以上的广播电视台</w:t>
      </w:r>
      <w:r>
        <w:rPr>
          <w:rFonts w:hint="eastAsia" w:eastAsia="仿宋_GB2312" w:cs="Times New Roman"/>
          <w:snapToGrid/>
          <w:kern w:val="0"/>
          <w:sz w:val="32"/>
          <w:lang w:val="en-US" w:eastAsia="zh-CN"/>
        </w:rPr>
        <w:t>；</w:t>
      </w:r>
    </w:p>
    <w:p w14:paraId="35D8E931">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（八）住宿人数超过 500 人的寄宿制学校</w:t>
      </w:r>
      <w:r>
        <w:rPr>
          <w:rFonts w:hint="eastAsia" w:eastAsia="仿宋_GB2312" w:cs="Times New Roman"/>
          <w:snapToGrid/>
          <w:kern w:val="0"/>
          <w:sz w:val="32"/>
          <w:lang w:val="en-US" w:eastAsia="zh-CN"/>
        </w:rPr>
        <w:t>；</w:t>
      </w:r>
    </w:p>
    <w:p w14:paraId="2F29350F">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（九）使用人数超过 200 人的幼儿园、托儿所、残障人员康复设施；</w:t>
      </w:r>
    </w:p>
    <w:p w14:paraId="4AD542E8">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（十）150张床位及以上的医院、老年人照料设施</w:t>
      </w:r>
      <w:r>
        <w:rPr>
          <w:rFonts w:hint="eastAsia" w:eastAsia="仿宋_GB2312" w:cs="Times New Roman"/>
          <w:snapToGrid/>
          <w:kern w:val="0"/>
          <w:sz w:val="32"/>
          <w:lang w:val="en-US" w:eastAsia="zh-CN"/>
        </w:rPr>
        <w:t>；</w:t>
      </w:r>
    </w:p>
    <w:p w14:paraId="52FF1CE7">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（十一）地下轨道交通车辆段、基地、控制中心和 2 条线路及以上的换乘枢纽站点。</w:t>
      </w:r>
    </w:p>
    <w:p w14:paraId="60D02B9A">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黑体" w:cs="Times New Roman"/>
          <w:b w:val="0"/>
          <w:bCs/>
          <w:snapToGrid/>
          <w:kern w:val="0"/>
          <w:sz w:val="32"/>
          <w:lang w:val="en-US" w:eastAsia="zh-CN"/>
        </w:rPr>
      </w:pPr>
      <w:r>
        <w:rPr>
          <w:rFonts w:hint="default" w:ascii="Times New Roman" w:hAnsi="Times New Roman" w:eastAsia="黑体" w:cs="Times New Roman"/>
          <w:b w:val="0"/>
          <w:bCs/>
          <w:snapToGrid/>
          <w:kern w:val="0"/>
          <w:sz w:val="32"/>
          <w:lang w:val="en-US" w:eastAsia="zh-CN"/>
        </w:rPr>
        <w:t>二、其他公共建筑：</w:t>
      </w:r>
    </w:p>
    <w:p w14:paraId="55D26278">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（十二）一类高层公共建筑</w:t>
      </w:r>
      <w:r>
        <w:rPr>
          <w:rFonts w:hint="eastAsia" w:eastAsia="仿宋_GB2312" w:cs="Times New Roman"/>
          <w:snapToGrid/>
          <w:kern w:val="0"/>
          <w:sz w:val="32"/>
          <w:lang w:val="en-US" w:eastAsia="zh-CN"/>
        </w:rPr>
        <w:t>；</w:t>
      </w:r>
    </w:p>
    <w:p w14:paraId="6B6B9C7F">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（十三）任一层建筑面积大于 1500 平方米或总建筑面积大于 3000 平方米的商店（商场）建筑（包含但不限于商业综合体、步行街、商店、市场、商业综合楼等）</w:t>
      </w:r>
      <w:r>
        <w:rPr>
          <w:rFonts w:hint="eastAsia" w:eastAsia="仿宋_GB2312" w:cs="Times New Roman"/>
          <w:snapToGrid/>
          <w:kern w:val="0"/>
          <w:sz w:val="32"/>
          <w:lang w:val="en-US" w:eastAsia="zh-CN"/>
        </w:rPr>
        <w:t>；</w:t>
      </w:r>
    </w:p>
    <w:p w14:paraId="6069B840">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（十四）任一层建筑面积大于 1500 平方米或总面积大于3000 平方米的宾馆</w:t>
      </w:r>
      <w:r>
        <w:rPr>
          <w:rFonts w:hint="eastAsia" w:eastAsia="仿宋_GB2312" w:cs="Times New Roman"/>
          <w:snapToGrid/>
          <w:kern w:val="0"/>
          <w:sz w:val="32"/>
          <w:lang w:val="en-US" w:eastAsia="zh-CN"/>
        </w:rPr>
        <w:t>；</w:t>
      </w:r>
    </w:p>
    <w:p w14:paraId="22BE4E8A">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（十五）任一层建筑面积大于 1500 平方米或总建筑面积大于 3000 平方米的餐饮场所（饭店）</w:t>
      </w:r>
      <w:r>
        <w:rPr>
          <w:rFonts w:hint="eastAsia" w:eastAsia="仿宋_GB2312" w:cs="Times New Roman"/>
          <w:snapToGrid/>
          <w:kern w:val="0"/>
          <w:sz w:val="32"/>
          <w:lang w:val="en-US" w:eastAsia="zh-CN"/>
        </w:rPr>
        <w:t>；</w:t>
      </w:r>
    </w:p>
    <w:p w14:paraId="1FDFF589">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（十六）候车厅、候船厅任一层建筑面积大于 1500 平方米或总建筑面积大于 3000 平方米的客运车站和客运码头；</w:t>
      </w:r>
    </w:p>
    <w:p w14:paraId="16E668DC">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（十七）民用机场</w:t>
      </w:r>
      <w:r>
        <w:rPr>
          <w:rFonts w:hint="eastAsia" w:eastAsia="仿宋_GB2312" w:cs="Times New Roman"/>
          <w:snapToGrid/>
          <w:kern w:val="0"/>
          <w:sz w:val="32"/>
          <w:lang w:val="en-US" w:eastAsia="zh-CN"/>
        </w:rPr>
        <w:t>；</w:t>
      </w:r>
    </w:p>
    <w:p w14:paraId="368878ED">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（十八）建筑面积大于 1500 平方米的城镇邮政、通信枢纽单位</w:t>
      </w:r>
      <w:r>
        <w:rPr>
          <w:rFonts w:hint="eastAsia" w:eastAsia="仿宋_GB2312" w:cs="Times New Roman"/>
          <w:snapToGrid/>
          <w:kern w:val="0"/>
          <w:sz w:val="32"/>
          <w:lang w:val="en-US" w:eastAsia="zh-CN"/>
        </w:rPr>
        <w:t>；</w:t>
      </w:r>
    </w:p>
    <w:p w14:paraId="750507C4">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（十九）国家和省级重点工程施工现场</w:t>
      </w:r>
      <w:r>
        <w:rPr>
          <w:rFonts w:hint="eastAsia" w:eastAsia="仿宋_GB2312" w:cs="Times New Roman"/>
          <w:snapToGrid/>
          <w:kern w:val="0"/>
          <w:sz w:val="32"/>
          <w:lang w:val="en-US" w:eastAsia="zh-CN"/>
        </w:rPr>
        <w:t>；</w:t>
      </w:r>
    </w:p>
    <w:p w14:paraId="140DB9CE">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（二十）部属、省属科研单位</w:t>
      </w:r>
      <w:r>
        <w:rPr>
          <w:rFonts w:hint="eastAsia" w:eastAsia="仿宋_GB2312" w:cs="Times New Roman"/>
          <w:snapToGrid/>
          <w:kern w:val="0"/>
          <w:sz w:val="32"/>
          <w:lang w:val="en-US" w:eastAsia="zh-CN"/>
        </w:rPr>
        <w:t>；</w:t>
      </w:r>
    </w:p>
    <w:p w14:paraId="49FD2785">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（二十一）建筑面积在 3000 平方米以上的大型游客服务中心、大型高速公路服务区；</w:t>
      </w:r>
    </w:p>
    <w:p w14:paraId="003E3213">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（二十二）监狱和司法行政戒毒所</w:t>
      </w:r>
      <w:r>
        <w:rPr>
          <w:rFonts w:hint="eastAsia" w:eastAsia="仿宋_GB2312" w:cs="Times New Roman"/>
          <w:snapToGrid/>
          <w:kern w:val="0"/>
          <w:sz w:val="32"/>
          <w:lang w:val="en-US" w:eastAsia="zh-CN"/>
        </w:rPr>
        <w:t>。</w:t>
      </w:r>
    </w:p>
    <w:p w14:paraId="23582162">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黑体" w:cs="Times New Roman"/>
          <w:b w:val="0"/>
          <w:bCs/>
          <w:snapToGrid/>
          <w:kern w:val="0"/>
          <w:sz w:val="32"/>
          <w:lang w:val="en-US" w:eastAsia="zh-CN"/>
        </w:rPr>
      </w:pPr>
      <w:r>
        <w:rPr>
          <w:rFonts w:hint="default" w:ascii="Times New Roman" w:hAnsi="Times New Roman" w:eastAsia="黑体" w:cs="Times New Roman"/>
          <w:b w:val="0"/>
          <w:bCs/>
          <w:snapToGrid/>
          <w:kern w:val="0"/>
          <w:sz w:val="32"/>
          <w:lang w:val="en-US" w:eastAsia="zh-CN"/>
        </w:rPr>
        <w:t>三、工业建筑：</w:t>
      </w:r>
    </w:p>
    <w:p w14:paraId="2EEB5586">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（二十三）装机容量 200MW 以上的火力发电厂，电压 220kv 以上的地区变电站、换流站，二级以上国家电网公司，设区的市级以上电力调度中心</w:t>
      </w:r>
      <w:r>
        <w:rPr>
          <w:rFonts w:hint="eastAsia" w:eastAsia="仿宋_GB2312" w:cs="Times New Roman"/>
          <w:snapToGrid/>
          <w:kern w:val="0"/>
          <w:sz w:val="32"/>
          <w:lang w:val="en-US" w:eastAsia="zh-CN"/>
        </w:rPr>
        <w:t>；</w:t>
      </w:r>
    </w:p>
    <w:p w14:paraId="7AC7CAAB">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（二十四）设有单体建筑面积大于 2000 平方米的甲类厂房，或者单体建筑面积大于 6000 平方米的乙类厂房，或者单体建筑面积大于 3000 平方米乙类高层厂房的企业</w:t>
      </w:r>
      <w:r>
        <w:rPr>
          <w:rFonts w:hint="eastAsia" w:eastAsia="仿宋_GB2312" w:cs="Times New Roman"/>
          <w:snapToGrid/>
          <w:kern w:val="0"/>
          <w:sz w:val="32"/>
          <w:lang w:val="en-US" w:eastAsia="zh-CN"/>
        </w:rPr>
        <w:t>；</w:t>
      </w:r>
    </w:p>
    <w:p w14:paraId="798997BD">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（二十五）日装瓶数量大于 3000 瓶的液化石油</w:t>
      </w:r>
      <w:bookmarkStart w:id="0" w:name="_GoBack"/>
      <w:bookmarkEnd w:id="0"/>
      <w:r>
        <w:rPr>
          <w:rFonts w:hint="default" w:ascii="Times New Roman" w:hAnsi="Times New Roman" w:eastAsia="仿宋_GB2312" w:cs="Times New Roman"/>
          <w:snapToGrid/>
          <w:kern w:val="0"/>
          <w:sz w:val="32"/>
          <w:lang w:val="en-US" w:eastAsia="zh-CN"/>
        </w:rPr>
        <w:t>气储配站</w:t>
      </w:r>
      <w:r>
        <w:rPr>
          <w:rFonts w:hint="eastAsia" w:eastAsia="仿宋_GB2312" w:cs="Times New Roman"/>
          <w:snapToGrid/>
          <w:kern w:val="0"/>
          <w:sz w:val="32"/>
          <w:lang w:val="en-US" w:eastAsia="zh-CN"/>
        </w:rPr>
        <w:t>；</w:t>
      </w:r>
    </w:p>
    <w:p w14:paraId="3840FCD4">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（二十六）设有占地面积大于 300 平方米的甲、乙类仓库，占地面积大于 1500 平方米或者总建筑面积大于 3000 平方米丙类仓库的企业</w:t>
      </w:r>
      <w:r>
        <w:rPr>
          <w:rFonts w:hint="eastAsia" w:eastAsia="仿宋_GB2312" w:cs="Times New Roman"/>
          <w:snapToGrid/>
          <w:kern w:val="0"/>
          <w:sz w:val="32"/>
          <w:lang w:val="en-US" w:eastAsia="zh-CN"/>
        </w:rPr>
        <w:t>；</w:t>
      </w:r>
    </w:p>
    <w:p w14:paraId="60AE5C2E">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（二十七）装置设备、罐区、建筑区占地面积大于 10000 平方米的易燃易爆化学物品生产、充装、储存、供应、销售企业；</w:t>
      </w:r>
    </w:p>
    <w:p w14:paraId="24C5785C">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（二十八）同一建筑内员工在 100 人以上的服装、鞋帽、玩具、食品加工、电子生产、医药、家具、电镀等劳动密集型生产、加工企业</w:t>
      </w:r>
      <w:r>
        <w:rPr>
          <w:rFonts w:hint="eastAsia" w:eastAsia="仿宋_GB2312" w:cs="Times New Roman"/>
          <w:snapToGrid/>
          <w:kern w:val="0"/>
          <w:sz w:val="32"/>
          <w:lang w:val="en-US" w:eastAsia="zh-CN"/>
        </w:rPr>
        <w:t>；</w:t>
      </w:r>
    </w:p>
    <w:p w14:paraId="0BC9CB80">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（二十九）国家储备粮库、总储量在 10000 吨以上的其他粮库</w:t>
      </w:r>
      <w:r>
        <w:rPr>
          <w:rFonts w:hint="eastAsia" w:eastAsia="仿宋_GB2312" w:cs="Times New Roman"/>
          <w:snapToGrid/>
          <w:kern w:val="0"/>
          <w:sz w:val="32"/>
          <w:lang w:val="en-US" w:eastAsia="zh-CN"/>
        </w:rPr>
        <w:t>；</w:t>
      </w:r>
    </w:p>
    <w:p w14:paraId="5977033D">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（三十）设有总储量 500 吨以上棉库的企业</w:t>
      </w:r>
      <w:r>
        <w:rPr>
          <w:rFonts w:hint="eastAsia" w:eastAsia="仿宋_GB2312" w:cs="Times New Roman"/>
          <w:snapToGrid/>
          <w:kern w:val="0"/>
          <w:sz w:val="32"/>
          <w:lang w:val="en-US" w:eastAsia="zh-CN"/>
        </w:rPr>
        <w:t>；</w:t>
      </w:r>
    </w:p>
    <w:p w14:paraId="3F774EA3">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（三十一）设有总储量 10000 立方米以上木材堆场的企业。</w:t>
      </w:r>
    </w:p>
    <w:p w14:paraId="2A8FD4D6">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黑体" w:cs="Times New Roman"/>
          <w:b w:val="0"/>
          <w:bCs/>
          <w:snapToGrid/>
          <w:kern w:val="0"/>
          <w:sz w:val="32"/>
          <w:lang w:val="en-US" w:eastAsia="zh-CN"/>
        </w:rPr>
      </w:pPr>
      <w:r>
        <w:rPr>
          <w:rFonts w:hint="default" w:ascii="Times New Roman" w:hAnsi="Times New Roman" w:eastAsia="黑体" w:cs="Times New Roman"/>
          <w:b w:val="0"/>
          <w:bCs/>
          <w:snapToGrid/>
          <w:kern w:val="0"/>
          <w:sz w:val="32"/>
          <w:lang w:val="en-US" w:eastAsia="zh-CN"/>
        </w:rPr>
        <w:t>四、其他发生火灾可能性较大以及一旦发生火灾可能造成重大人身伤亡或者财产损失的单位：</w:t>
      </w:r>
    </w:p>
    <w:p w14:paraId="55E6F75C">
      <w:pPr>
        <w:pStyle w:val="12"/>
        <w:keepNext w:val="0"/>
        <w:keepLines w:val="0"/>
        <w:pageBreakBefore w:val="0"/>
        <w:widowControl/>
        <w:kinsoku/>
        <w:wordWrap/>
        <w:overflowPunct w:val="0"/>
        <w:topLinePunct w:val="0"/>
        <w:autoSpaceDE/>
        <w:autoSpaceDN/>
        <w:bidi w:val="0"/>
        <w:adjustRightInd w:val="0"/>
        <w:snapToGrid w:val="0"/>
        <w:spacing w:after="0" w:line="594" w:lineRule="exact"/>
        <w:ind w:firstLine="640" w:firstLineChars="200"/>
        <w:jc w:val="both"/>
        <w:textAlignment w:val="auto"/>
        <w:rPr>
          <w:rFonts w:hint="default" w:ascii="Times New Roman" w:hAnsi="Times New Roman" w:eastAsia="仿宋_GB2312" w:cs="Times New Roman"/>
          <w:snapToGrid/>
          <w:kern w:val="0"/>
          <w:sz w:val="32"/>
          <w:lang w:val="en-US" w:eastAsia="zh-CN"/>
        </w:rPr>
      </w:pPr>
      <w:r>
        <w:rPr>
          <w:rFonts w:hint="default" w:ascii="Times New Roman" w:hAnsi="Times New Roman" w:eastAsia="仿宋_GB2312" w:cs="Times New Roman"/>
          <w:snapToGrid/>
          <w:kern w:val="0"/>
          <w:sz w:val="32"/>
          <w:lang w:val="en-US" w:eastAsia="zh-CN"/>
        </w:rPr>
        <w:t>（三十二）大型矿山企业。</w:t>
      </w:r>
    </w:p>
    <w:sectPr>
      <w:footerReference r:id="rId5" w:type="default"/>
      <w:pgSz w:w="11906" w:h="16839"/>
      <w:pgMar w:top="1431" w:right="1378" w:bottom="1132" w:left="1584" w:header="0" w:footer="878"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160A1">
    <w:pPr>
      <w:spacing w:line="181"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FF7517">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FFF7517">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DC544">
                          <w:pPr>
                            <w:pStyle w:val="6"/>
                          </w:pPr>
                          <w: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DDC544">
                    <w:pPr>
                      <w:pStyle w:val="6"/>
                    </w:pPr>
                    <w:r>
                      <w:t>—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VlYmI0YWJjMDVlZmViODQ0Nzc4YzJiMGU0NzBmYWIifQ=="/>
  </w:docVars>
  <w:rsids>
    <w:rsidRoot w:val="00000000"/>
    <w:rsid w:val="10291D05"/>
    <w:rsid w:val="16092290"/>
    <w:rsid w:val="1A16330E"/>
    <w:rsid w:val="1CF6218E"/>
    <w:rsid w:val="2A3D393F"/>
    <w:rsid w:val="308E52E2"/>
    <w:rsid w:val="36885E1E"/>
    <w:rsid w:val="5AEF044B"/>
    <w:rsid w:val="5F262B19"/>
    <w:rsid w:val="688859DE"/>
    <w:rsid w:val="7F652F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ind w:firstLine="420" w:firstLineChars="200"/>
    </w:pPr>
  </w:style>
  <w:style w:type="paragraph" w:styleId="3">
    <w:name w:val="Body Text Indent"/>
    <w:basedOn w:val="1"/>
    <w:next w:val="4"/>
    <w:autoRedefine/>
    <w:qFormat/>
    <w:uiPriority w:val="0"/>
    <w:pPr>
      <w:ind w:firstLine="720" w:firstLineChars="200"/>
    </w:pPr>
    <w:rPr>
      <w:rFonts w:ascii="`Times New Roman`" w:eastAsia="仿宋_GB2312"/>
      <w:color w:val="000000"/>
      <w:spacing w:val="20"/>
      <w:szCs w:val="30"/>
      <w:lang w:val="zh-CN"/>
    </w:rPr>
  </w:style>
  <w:style w:type="paragraph" w:styleId="4">
    <w:name w:val="Normal Indent"/>
    <w:basedOn w:val="1"/>
    <w:next w:val="1"/>
    <w:autoRedefine/>
    <w:qFormat/>
    <w:uiPriority w:val="0"/>
    <w:pPr>
      <w:ind w:firstLine="420" w:firstLineChars="200"/>
    </w:pPr>
    <w:rPr>
      <w:rFonts w:eastAsia="仿宋"/>
    </w:rPr>
  </w:style>
  <w:style w:type="paragraph" w:styleId="5">
    <w:name w:val="Body Text"/>
    <w:basedOn w:val="1"/>
    <w:autoRedefine/>
    <w:semiHidden/>
    <w:qFormat/>
    <w:uiPriority w:val="0"/>
    <w:rPr>
      <w:rFonts w:ascii="仿宋" w:hAnsi="仿宋" w:eastAsia="仿宋" w:cs="仿宋"/>
      <w:sz w:val="31"/>
      <w:szCs w:val="31"/>
      <w:lang w:val="en-US" w:eastAsia="en-US" w:bidi="ar-SA"/>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标题1"/>
    <w:basedOn w:val="8"/>
    <w:autoRedefine/>
    <w:qFormat/>
    <w:uiPriority w:val="0"/>
    <w:pPr>
      <w:spacing w:before="0" w:after="200" w:line="640" w:lineRule="atLeast"/>
      <w:outlineLvl w:val="9"/>
    </w:pPr>
    <w:rPr>
      <w:rFonts w:ascii="Times New Roman" w:hAnsi="Times New Roman" w:eastAsia="方正小标宋_GBK" w:cs="Arial"/>
      <w:b w:val="0"/>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1093</Words>
  <Characters>1177</Characters>
  <TotalTime>19</TotalTime>
  <ScaleCrop>false</ScaleCrop>
  <LinksUpToDate>false</LinksUpToDate>
  <CharactersWithSpaces>1234</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2023-12-11T17:55:00Z</dcterms:created>
  <dc:creator>姚炯</dc:creator>
  <cp:lastModifiedBy>砖头</cp:lastModifiedBy>
  <cp:lastPrinted>2024-01-19T02:41:00Z</cp:lastPrinted>
  <dcterms:modified xsi:type="dcterms:W3CDTF">2025-01-13T03:11:09Z</dcterms:modified>
  <dc:title>广东省消防安全领域专项整治总体工作方案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2023-12-11T18:28:34Z</vt:filetime>
  </property>
  <property fmtid="{D5CDD505-2E9C-101B-9397-08002B2CF9AE}" pid="4" name="KSOProductBuildVer">
    <vt:lpwstr>2052-12.1.0.17857</vt:lpwstr>
  </property>
  <property fmtid="{D5CDD505-2E9C-101B-9397-08002B2CF9AE}" pid="5" name="ICV">
    <vt:lpwstr>C0B69D86BEBF4350B4550DFED8D3F67D_13</vt:lpwstr>
  </property>
</Properties>
</file>