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sz w:val="32"/>
          <w:szCs w:val="40"/>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3</w:t>
      </w:r>
      <w:bookmarkStart w:id="0" w:name="_GoBack"/>
      <w:bookmarkEnd w:id="0"/>
    </w:p>
    <w:p>
      <w:pPr>
        <w:pStyle w:val="2"/>
        <w:ind w:left="0" w:leftChars="0" w:firstLine="0" w:firstLineChars="0"/>
        <w:jc w:val="center"/>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方正小标宋简体" w:cs="Times New Roman"/>
          <w:sz w:val="44"/>
          <w:szCs w:val="44"/>
          <w:lang w:val="en-US" w:eastAsia="zh-CN"/>
        </w:rPr>
        <w:t>国家职业资格与我省职称</w:t>
      </w:r>
      <w:r>
        <w:rPr>
          <w:rFonts w:hint="eastAsia"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sz w:val="44"/>
          <w:szCs w:val="44"/>
          <w:lang w:val="en-US" w:eastAsia="zh-CN"/>
        </w:rPr>
        <w:t>对应</w:t>
      </w:r>
      <w:r>
        <w:rPr>
          <w:rFonts w:hint="eastAsia" w:ascii="Times New Roman" w:hAnsi="Times New Roman" w:eastAsia="方正小标宋简体" w:cs="Times New Roman"/>
          <w:sz w:val="44"/>
          <w:szCs w:val="44"/>
          <w:lang w:val="en-US" w:eastAsia="zh-CN"/>
        </w:rPr>
        <w:t>关系</w:t>
      </w:r>
    </w:p>
    <w:p>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根据《关于公布国家职业资格目录的通知》（人社部发〔2017〕68 号）、《国家职业资格目录（2021 版）》、各系列职称评价标准条件以及国家各项专业技术人员职业资格制度规定，对应关系如下：</w:t>
      </w:r>
    </w:p>
    <w:p>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注册消防工程师、注册建筑师、造价工程师、建造师、注册结构工程师、注册计量师、注册安全工程师、通信专业技术人员资格、机动车检测维修专业技术人员职业资格、公路水运工程试验检测专业技术人员职业资格、质量专业技术人员职业资格，以上各项专业技术人员职业资格，其初级（二级）、中级（一级）资格分别对应我省工程技术人才系列的助理工程师、工程师职称。</w:t>
      </w:r>
    </w:p>
    <w:p>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民用核安全设备无损检验人员资格、民用核设施操纵人员资格、注册核安全工程师、监理工程师、注册城乡规划师（注册城市规划师）、勘察设计注册工程师（注册结构工程师除外）、注册设备监理师、注册测绘师、工程咨询（投资）专业技术人员职业资格、环境影响评价工程师，以上各项未分级的专业技术人员职业资格对应我省工程技术人才系列的工程师职称。</w:t>
      </w:r>
    </w:p>
    <w:p>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通过全国计算机技术与软件专业技术资格（水平）考试取得初级资格、中级资格、高级资格，且符合《人力资源社会保障部工业和信息化部关于深化工程技术人才职称制度改革的指导意见》（人社部发〔2019〕16 号）关于助理工程师、工程师、高级工程师学历资历条件的，可分别对应我省工程技术人才系列的助理工程师、工程师和高级工程师。例如，取得系统架构设计师资格，具备本科学历或学士学位的从事工程技术工作满10年可对应高级工程师职称，具备硕士学位的从事工程技术工作满7年可对应高级工程师职称。</w:t>
      </w:r>
    </w:p>
    <w:sectPr>
      <w:footerReference r:id="rId3" w:type="default"/>
      <w:pgSz w:w="11906" w:h="16838"/>
      <w:pgMar w:top="1417" w:right="1644"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ngLiU_HKSCS">
    <w:altName w:val="文泉驿微米黑"/>
    <w:panose1 w:val="02020500000000000000"/>
    <w:charset w:val="88"/>
    <w:family w:val="roman"/>
    <w:pitch w:val="default"/>
    <w:sig w:usb0="00000000" w:usb1="00000000" w:usb2="00000016" w:usb3="00000000" w:csb0="0010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ascii="仿宋_GB2312" w:hAnsi="仿宋_GB2312" w:eastAsia="仿宋_GB2312" w:cs="仿宋_GB2312"/>
                              <w:sz w:val="28"/>
                              <w:szCs w:val="52"/>
                              <w:lang w:eastAsia="zh-CN"/>
                            </w:rPr>
                            <w:fldChar w:fldCharType="begin"/>
                          </w:r>
                          <w:r>
                            <w:rPr>
                              <w:rFonts w:hint="eastAsia" w:ascii="仿宋_GB2312" w:hAnsi="仿宋_GB2312" w:eastAsia="仿宋_GB2312" w:cs="仿宋_GB2312"/>
                              <w:sz w:val="28"/>
                              <w:szCs w:val="52"/>
                              <w:lang w:eastAsia="zh-CN"/>
                            </w:rPr>
                            <w:instrText xml:space="preserve"> PAGE  \* MERGEFORMAT </w:instrText>
                          </w:r>
                          <w:r>
                            <w:rPr>
                              <w:rFonts w:hint="eastAsia" w:ascii="仿宋_GB2312" w:hAnsi="仿宋_GB2312" w:eastAsia="仿宋_GB2312" w:cs="仿宋_GB2312"/>
                              <w:sz w:val="28"/>
                              <w:szCs w:val="52"/>
                              <w:lang w:eastAsia="zh-CN"/>
                            </w:rPr>
                            <w:fldChar w:fldCharType="separate"/>
                          </w:r>
                          <w:r>
                            <w:rPr>
                              <w:rFonts w:hint="eastAsia" w:ascii="仿宋_GB2312" w:hAnsi="仿宋_GB2312" w:eastAsia="仿宋_GB2312" w:cs="仿宋_GB2312"/>
                              <w:sz w:val="28"/>
                              <w:szCs w:val="52"/>
                              <w:lang w:eastAsia="zh-CN"/>
                            </w:rPr>
                            <w:t>1</w:t>
                          </w:r>
                          <w:r>
                            <w:rPr>
                              <w:rFonts w:hint="eastAsia" w:ascii="仿宋_GB2312" w:hAnsi="仿宋_GB2312" w:eastAsia="仿宋_GB2312" w:cs="仿宋_GB2312"/>
                              <w:sz w:val="28"/>
                              <w:szCs w:val="5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ascii="仿宋_GB2312" w:hAnsi="仿宋_GB2312" w:eastAsia="仿宋_GB2312" w:cs="仿宋_GB2312"/>
                        <w:sz w:val="28"/>
                        <w:szCs w:val="52"/>
                        <w:lang w:eastAsia="zh-CN"/>
                      </w:rPr>
                      <w:fldChar w:fldCharType="begin"/>
                    </w:r>
                    <w:r>
                      <w:rPr>
                        <w:rFonts w:hint="eastAsia" w:ascii="仿宋_GB2312" w:hAnsi="仿宋_GB2312" w:eastAsia="仿宋_GB2312" w:cs="仿宋_GB2312"/>
                        <w:sz w:val="28"/>
                        <w:szCs w:val="52"/>
                        <w:lang w:eastAsia="zh-CN"/>
                      </w:rPr>
                      <w:instrText xml:space="preserve"> PAGE  \* MERGEFORMAT </w:instrText>
                    </w:r>
                    <w:r>
                      <w:rPr>
                        <w:rFonts w:hint="eastAsia" w:ascii="仿宋_GB2312" w:hAnsi="仿宋_GB2312" w:eastAsia="仿宋_GB2312" w:cs="仿宋_GB2312"/>
                        <w:sz w:val="28"/>
                        <w:szCs w:val="52"/>
                        <w:lang w:eastAsia="zh-CN"/>
                      </w:rPr>
                      <w:fldChar w:fldCharType="separate"/>
                    </w:r>
                    <w:r>
                      <w:rPr>
                        <w:rFonts w:hint="eastAsia" w:ascii="仿宋_GB2312" w:hAnsi="仿宋_GB2312" w:eastAsia="仿宋_GB2312" w:cs="仿宋_GB2312"/>
                        <w:sz w:val="28"/>
                        <w:szCs w:val="52"/>
                        <w:lang w:eastAsia="zh-CN"/>
                      </w:rPr>
                      <w:t>1</w:t>
                    </w:r>
                    <w:r>
                      <w:rPr>
                        <w:rFonts w:hint="eastAsia" w:ascii="仿宋_GB2312" w:hAnsi="仿宋_GB2312" w:eastAsia="仿宋_GB2312" w:cs="仿宋_GB2312"/>
                        <w:sz w:val="28"/>
                        <w:szCs w:val="5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NGFjMTZkNjg4YTJhMzE2NGVlNjVkNWE5ODM1YTcifQ=="/>
  </w:docVars>
  <w:rsids>
    <w:rsidRoot w:val="61AE759F"/>
    <w:rsid w:val="0D4C36CC"/>
    <w:rsid w:val="11056CF1"/>
    <w:rsid w:val="1160219A"/>
    <w:rsid w:val="207C351B"/>
    <w:rsid w:val="2E9F1713"/>
    <w:rsid w:val="2FD53CBB"/>
    <w:rsid w:val="4D066BB2"/>
    <w:rsid w:val="61AE759F"/>
    <w:rsid w:val="6F2348FA"/>
    <w:rsid w:val="6FDF279D"/>
    <w:rsid w:val="73825469"/>
    <w:rsid w:val="75C565F4"/>
    <w:rsid w:val="7CA619C2"/>
    <w:rsid w:val="7F2DA313"/>
    <w:rsid w:val="BB3F1FC3"/>
    <w:rsid w:val="BB4EFEEB"/>
    <w:rsid w:val="CF7AF7D7"/>
    <w:rsid w:val="DFFDC207"/>
    <w:rsid w:val="F73F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gLiU_HKSCS" w:hAnsi="MingLiU_HKSCS" w:eastAsia="MingLiU_HKSCS" w:cs="MingLiU_HKSC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MingLiU_HKSCS" w:hAnsi="MingLiU_HKSCS" w:eastAsia="仿宋_GB2312" w:cs="MingLiU_HKS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721</Words>
  <Characters>737</Characters>
  <Lines>0</Lines>
  <Paragraphs>0</Paragraphs>
  <TotalTime>32</TotalTime>
  <ScaleCrop>false</ScaleCrop>
  <LinksUpToDate>false</LinksUpToDate>
  <CharactersWithSpaces>738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2020-08-05T03:46:00Z</dcterms:created>
  <dc:creator>hwq</dc:creator>
  <cp:lastModifiedBy>wang</cp:lastModifiedBy>
  <cp:lastPrinted>2023-10-26T17:55:00Z</cp:lastPrinted>
  <dcterms:modified xsi:type="dcterms:W3CDTF">2025-03-03T16:02:26Z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ribbonExt">
    <vt:lpwstr>{"WPSExtOfficeTab":{"OnGetEnabled":false,"OnGetVisible":false}}</vt:lpwstr>
  </property>
  <property fmtid="{D5CDD505-2E9C-101B-9397-08002B2CF9AE}" pid="4" name="ICV">
    <vt:lpwstr>E4D89A76ED644BFF8C71CBC3AFC9BD4F</vt:lpwstr>
  </property>
</Properties>
</file>