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683E48">
      <w:pPr>
        <w:keepNext w:val="0"/>
        <w:keepLines w:val="0"/>
        <w:pageBreakBefore w:val="0"/>
        <w:kinsoku/>
        <w:wordWrap/>
        <w:overflowPunct/>
        <w:topLinePunct w:val="0"/>
        <w:autoSpaceDE/>
        <w:autoSpaceDN/>
        <w:bidi w:val="0"/>
        <w:adjustRightInd/>
        <w:snapToGrid/>
        <w:spacing w:line="580" w:lineRule="exact"/>
        <w:ind w:right="0" w:rightChars="0"/>
        <w:jc w:val="center"/>
        <w:textAlignment w:val="auto"/>
        <w:rPr>
          <w:rFonts w:hint="eastAsia" w:ascii="方正小标宋简体" w:hAnsi="方正小标宋简体" w:eastAsia="方正小标宋简体" w:cs="方正小标宋简体"/>
          <w:sz w:val="84"/>
          <w:szCs w:val="84"/>
        </w:rPr>
      </w:pPr>
      <w:bookmarkStart w:id="0" w:name="_GoBack"/>
      <w:bookmarkEnd w:id="0"/>
    </w:p>
    <w:p w14:paraId="1CE42A1D">
      <w:pPr>
        <w:jc w:val="center"/>
        <w:rPr>
          <w:rFonts w:ascii="方正小标宋简体" w:hAnsi="方正小标宋简体" w:eastAsia="方正小标宋简体" w:cs="方正小标宋简体"/>
          <w:sz w:val="84"/>
          <w:szCs w:val="84"/>
        </w:rPr>
      </w:pPr>
    </w:p>
    <w:p w14:paraId="1AA8A006">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201</w:t>
      </w:r>
      <w:r>
        <w:rPr>
          <w:rFonts w:hint="eastAsia" w:ascii="方正小标宋简体" w:hAnsi="方正小标宋简体" w:eastAsia="方正小标宋简体" w:cs="方正小标宋简体"/>
          <w:sz w:val="84"/>
          <w:szCs w:val="84"/>
          <w:lang w:val="en-US" w:eastAsia="zh-CN"/>
        </w:rPr>
        <w:t>6</w:t>
      </w:r>
      <w:r>
        <w:rPr>
          <w:rFonts w:hint="eastAsia" w:ascii="方正小标宋简体" w:hAnsi="方正小标宋简体" w:eastAsia="方正小标宋简体" w:cs="方正小标宋简体"/>
          <w:sz w:val="84"/>
          <w:szCs w:val="84"/>
        </w:rPr>
        <w:t>年</w:t>
      </w:r>
    </w:p>
    <w:p w14:paraId="54F064F4">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廉江市人力资源和社会保障局部门决算</w:t>
      </w:r>
    </w:p>
    <w:p w14:paraId="3ABE1092">
      <w:pPr>
        <w:jc w:val="center"/>
        <w:rPr>
          <w:rFonts w:ascii="方正小标宋简体" w:hAnsi="方正小标宋简体" w:eastAsia="方正小标宋简体" w:cs="方正小标宋简体"/>
          <w:sz w:val="84"/>
          <w:szCs w:val="84"/>
        </w:rPr>
      </w:pPr>
    </w:p>
    <w:p w14:paraId="261CE722">
      <w:pPr>
        <w:ind w:left="420"/>
        <w:jc w:val="center"/>
        <w:rPr>
          <w:rFonts w:ascii="黑体" w:hAnsi="宋体" w:eastAsia="黑体"/>
          <w:b/>
          <w:sz w:val="44"/>
          <w:szCs w:val="44"/>
        </w:rPr>
      </w:pPr>
      <w:r>
        <w:rPr>
          <w:rFonts w:hint="eastAsia" w:ascii="方正小标宋简体" w:hAnsi="方正小标宋简体" w:eastAsia="方正小标宋简体" w:cs="方正小标宋简体"/>
          <w:sz w:val="84"/>
          <w:szCs w:val="84"/>
        </w:rPr>
        <w:br w:type="page"/>
      </w:r>
      <w:r>
        <w:rPr>
          <w:rFonts w:hint="eastAsia" w:ascii="黑体" w:hAnsi="宋体" w:eastAsia="黑体"/>
          <w:b/>
          <w:sz w:val="44"/>
          <w:szCs w:val="44"/>
        </w:rPr>
        <w:t>目       录</w:t>
      </w:r>
    </w:p>
    <w:p w14:paraId="79954364">
      <w:pPr>
        <w:jc w:val="center"/>
        <w:rPr>
          <w:rFonts w:ascii="仿宋_GB2312" w:hAnsi="宋体" w:eastAsia="仿宋_GB2312"/>
          <w:sz w:val="32"/>
          <w:szCs w:val="32"/>
        </w:rPr>
      </w:pPr>
    </w:p>
    <w:p w14:paraId="5864BC2E">
      <w:pPr>
        <w:spacing w:line="288" w:lineRule="auto"/>
        <w:ind w:firstLine="723" w:firstLineChars="200"/>
        <w:outlineLvl w:val="0"/>
        <w:rPr>
          <w:rFonts w:ascii="宋体" w:hAnsi="宋体"/>
          <w:b/>
          <w:sz w:val="36"/>
          <w:szCs w:val="36"/>
        </w:rPr>
      </w:pPr>
      <w:r>
        <w:rPr>
          <w:rFonts w:hint="eastAsia" w:ascii="宋体" w:hAnsi="宋体"/>
          <w:b/>
          <w:sz w:val="36"/>
          <w:szCs w:val="36"/>
        </w:rPr>
        <w:t>第一部分   廉江市人力资源和社会保障局概况</w:t>
      </w:r>
    </w:p>
    <w:p w14:paraId="13E457CD">
      <w:pPr>
        <w:spacing w:line="288" w:lineRule="auto"/>
        <w:ind w:firstLine="800" w:firstLineChars="250"/>
        <w:rPr>
          <w:rFonts w:ascii="仿宋_GB2312" w:eastAsia="仿宋_GB2312"/>
          <w:sz w:val="32"/>
          <w:szCs w:val="32"/>
        </w:rPr>
      </w:pPr>
      <w:r>
        <w:rPr>
          <w:rFonts w:hint="eastAsia" w:ascii="仿宋_GB2312" w:eastAsia="仿宋_GB2312"/>
          <w:sz w:val="32"/>
          <w:szCs w:val="32"/>
        </w:rPr>
        <w:t>一、 部门职责</w:t>
      </w:r>
    </w:p>
    <w:p w14:paraId="03A89180">
      <w:pPr>
        <w:spacing w:line="288" w:lineRule="auto"/>
        <w:ind w:firstLine="800" w:firstLineChars="250"/>
        <w:rPr>
          <w:rFonts w:ascii="仿宋_GB2312" w:eastAsia="仿宋_GB2312"/>
          <w:sz w:val="32"/>
          <w:szCs w:val="32"/>
        </w:rPr>
      </w:pPr>
      <w:r>
        <w:rPr>
          <w:rFonts w:hint="eastAsia" w:ascii="仿宋_GB2312" w:eastAsia="仿宋_GB2312"/>
          <w:sz w:val="32"/>
          <w:szCs w:val="32"/>
        </w:rPr>
        <w:t>二、 机构设置</w:t>
      </w:r>
    </w:p>
    <w:p w14:paraId="39ACF578">
      <w:pPr>
        <w:spacing w:line="288" w:lineRule="auto"/>
        <w:ind w:firstLine="723" w:firstLineChars="200"/>
        <w:outlineLvl w:val="0"/>
        <w:rPr>
          <w:rFonts w:ascii="宋体" w:hAnsi="宋体"/>
          <w:b/>
          <w:sz w:val="36"/>
          <w:szCs w:val="36"/>
        </w:rPr>
      </w:pPr>
      <w:r>
        <w:rPr>
          <w:rFonts w:hint="eastAsia" w:ascii="宋体" w:hAnsi="宋体"/>
          <w:b/>
          <w:sz w:val="36"/>
          <w:szCs w:val="36"/>
        </w:rPr>
        <w:t>第二部分  廉江市人力资源和社会保障局2015年部门决算情况说明</w:t>
      </w:r>
    </w:p>
    <w:p w14:paraId="758B6E2D">
      <w:pPr>
        <w:spacing w:line="288" w:lineRule="auto"/>
        <w:ind w:firstLine="723" w:firstLineChars="200"/>
        <w:rPr>
          <w:rFonts w:ascii="仿宋_GB2312" w:hAnsi="仿宋_GB2312" w:eastAsia="仿宋_GB2312" w:cs="仿宋_GB2312"/>
          <w:sz w:val="32"/>
          <w:szCs w:val="32"/>
        </w:rPr>
      </w:pPr>
      <w:r>
        <w:rPr>
          <w:rFonts w:hint="eastAsia" w:ascii="宋体" w:hAnsi="宋体"/>
          <w:b/>
          <w:sz w:val="36"/>
          <w:szCs w:val="36"/>
        </w:rPr>
        <w:t>第三部分  名词解释</w:t>
      </w:r>
    </w:p>
    <w:p w14:paraId="797E3966">
      <w:pPr>
        <w:spacing w:line="288" w:lineRule="auto"/>
        <w:ind w:firstLine="723" w:firstLineChars="200"/>
        <w:outlineLvl w:val="0"/>
        <w:rPr>
          <w:rFonts w:ascii="宋体" w:hAnsi="宋体"/>
          <w:b/>
          <w:sz w:val="36"/>
          <w:szCs w:val="36"/>
        </w:rPr>
      </w:pPr>
      <w:r>
        <w:rPr>
          <w:rFonts w:hint="eastAsia" w:ascii="宋体" w:hAnsi="宋体"/>
          <w:b/>
          <w:sz w:val="36"/>
          <w:szCs w:val="36"/>
        </w:rPr>
        <w:t>第四部分   廉江市人力资源和社会保障局2015年部门决算表</w:t>
      </w:r>
    </w:p>
    <w:p w14:paraId="243935C0">
      <w:pPr>
        <w:spacing w:line="288" w:lineRule="auto"/>
        <w:ind w:firstLine="640" w:firstLineChars="200"/>
        <w:rPr>
          <w:rFonts w:ascii="仿宋_GB2312" w:eastAsia="仿宋_GB2312"/>
          <w:b/>
          <w:sz w:val="32"/>
          <w:szCs w:val="32"/>
        </w:rPr>
      </w:pPr>
      <w:r>
        <w:rPr>
          <w:rFonts w:hint="eastAsia" w:ascii="仿宋_GB2312" w:eastAsia="仿宋_GB2312"/>
          <w:sz w:val="32"/>
          <w:szCs w:val="32"/>
        </w:rPr>
        <w:t>一、</w:t>
      </w:r>
      <w:r>
        <w:rPr>
          <w:rFonts w:hint="eastAsia" w:ascii="仿宋_GB2312" w:hAnsi="宋体" w:eastAsia="仿宋_GB2312" w:cs="宋体"/>
          <w:kern w:val="0"/>
          <w:sz w:val="32"/>
          <w:szCs w:val="32"/>
        </w:rPr>
        <w:t>收入支出决算总表</w:t>
      </w:r>
    </w:p>
    <w:p w14:paraId="447721B9">
      <w:pPr>
        <w:spacing w:line="288" w:lineRule="auto"/>
        <w:ind w:firstLine="640" w:firstLineChars="200"/>
        <w:outlineLvl w:val="0"/>
        <w:rPr>
          <w:rFonts w:ascii="仿宋_GB2312" w:hAnsi="宋体" w:eastAsia="仿宋_GB2312" w:cs="宋体"/>
          <w:kern w:val="0"/>
          <w:sz w:val="32"/>
          <w:szCs w:val="32"/>
        </w:rPr>
      </w:pPr>
      <w:r>
        <w:rPr>
          <w:rFonts w:hint="eastAsia" w:ascii="仿宋_GB2312" w:eastAsia="仿宋_GB2312"/>
          <w:sz w:val="32"/>
          <w:szCs w:val="32"/>
        </w:rPr>
        <w:t>二、</w:t>
      </w:r>
      <w:r>
        <w:rPr>
          <w:rFonts w:hint="eastAsia" w:ascii="仿宋_GB2312" w:hAnsi="宋体" w:eastAsia="仿宋_GB2312" w:cs="宋体"/>
          <w:kern w:val="0"/>
          <w:sz w:val="32"/>
          <w:szCs w:val="32"/>
        </w:rPr>
        <w:t>收入决算表</w:t>
      </w:r>
    </w:p>
    <w:p w14:paraId="47962B4D">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三、支出决算表</w:t>
      </w:r>
    </w:p>
    <w:p w14:paraId="7FE67699">
      <w:pPr>
        <w:spacing w:line="288" w:lineRule="auto"/>
        <w:ind w:firstLine="640" w:firstLineChars="200"/>
        <w:outlineLvl w:val="0"/>
        <w:rPr>
          <w:rFonts w:ascii="仿宋_GB2312" w:eastAsia="仿宋_GB2312"/>
          <w:sz w:val="32"/>
          <w:szCs w:val="32"/>
        </w:rPr>
      </w:pPr>
      <w:r>
        <w:rPr>
          <w:rFonts w:hint="eastAsia" w:ascii="仿宋_GB2312" w:hAnsi="宋体" w:eastAsia="仿宋_GB2312" w:cs="宋体"/>
          <w:kern w:val="0"/>
          <w:sz w:val="32"/>
          <w:szCs w:val="32"/>
        </w:rPr>
        <w:t>四、财政拨款收入支出决算总表</w:t>
      </w:r>
    </w:p>
    <w:p w14:paraId="1A5B6D91">
      <w:pPr>
        <w:spacing w:line="288" w:lineRule="auto"/>
        <w:ind w:firstLine="640" w:firstLineChars="200"/>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五、一般公共预算财政拨款支出决算表</w:t>
      </w:r>
    </w:p>
    <w:p w14:paraId="2D88DAAE">
      <w:pPr>
        <w:spacing w:line="288" w:lineRule="auto"/>
        <w:ind w:firstLine="640" w:firstLineChars="200"/>
        <w:rPr>
          <w:rFonts w:ascii="仿宋_GB2312" w:eastAsia="仿宋_GB2312"/>
          <w:sz w:val="32"/>
          <w:szCs w:val="32"/>
        </w:rPr>
      </w:pPr>
      <w:r>
        <w:rPr>
          <w:rFonts w:hint="eastAsia" w:ascii="仿宋_GB2312" w:hAnsi="宋体" w:eastAsia="仿宋_GB2312" w:cs="宋体"/>
          <w:kern w:val="0"/>
          <w:sz w:val="32"/>
          <w:szCs w:val="32"/>
        </w:rPr>
        <w:t>六、一般公共预算财政拨款基本支出决算表</w:t>
      </w:r>
    </w:p>
    <w:p w14:paraId="3DC3E241">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七、一般公共预算财政拨款“三公”经费支出决算表</w:t>
      </w:r>
    </w:p>
    <w:p w14:paraId="16FC6170">
      <w:pPr>
        <w:spacing w:line="288"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八、政府性基金预算财政拨款收入支出决算表</w:t>
      </w:r>
    </w:p>
    <w:p w14:paraId="49BAF7FF">
      <w:pPr>
        <w:pStyle w:val="2"/>
        <w:widowControl/>
        <w:shd w:val="clear" w:color="auto" w:fill="FFFFFF"/>
        <w:spacing w:beforeAutospacing="0" w:afterAutospacing="0"/>
        <w:jc w:val="both"/>
        <w:rPr>
          <w:rFonts w:ascii="微软雅黑" w:hAnsi="微软雅黑" w:eastAsia="微软雅黑" w:cs="微软雅黑"/>
          <w:color w:val="333333"/>
          <w:sz w:val="44"/>
          <w:szCs w:val="44"/>
          <w:shd w:val="clear" w:color="auto" w:fill="FFFFFF"/>
        </w:rPr>
      </w:pPr>
    </w:p>
    <w:p w14:paraId="6EC8A4CB">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right="0" w:rightChars="0"/>
        <w:jc w:val="both"/>
        <w:textAlignment w:val="auto"/>
        <w:rPr>
          <w:rFonts w:ascii="微软雅黑" w:hAnsi="微软雅黑" w:eastAsia="微软雅黑" w:cs="微软雅黑"/>
          <w:color w:val="333333"/>
          <w:sz w:val="44"/>
          <w:szCs w:val="44"/>
          <w:shd w:val="clear" w:color="auto" w:fill="FFFFFF"/>
        </w:rPr>
      </w:pPr>
    </w:p>
    <w:p w14:paraId="07077839">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right="0" w:rightChars="0"/>
        <w:jc w:val="both"/>
        <w:textAlignment w:val="auto"/>
        <w:rPr>
          <w:rFonts w:ascii="微软雅黑" w:hAnsi="微软雅黑" w:eastAsia="微软雅黑" w:cs="微软雅黑"/>
          <w:color w:val="333333"/>
          <w:sz w:val="44"/>
          <w:szCs w:val="44"/>
          <w:shd w:val="clear" w:color="auto" w:fill="FFFFFF"/>
        </w:rPr>
      </w:pPr>
    </w:p>
    <w:p w14:paraId="131DC15D">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right="0" w:rightChars="0"/>
        <w:jc w:val="both"/>
        <w:textAlignment w:val="auto"/>
        <w:rPr>
          <w:rFonts w:ascii="微软雅黑" w:hAnsi="微软雅黑" w:eastAsia="微软雅黑" w:cs="微软雅黑"/>
          <w:color w:val="333333"/>
          <w:sz w:val="44"/>
          <w:szCs w:val="44"/>
          <w:shd w:val="clear" w:color="auto" w:fill="FFFFFF"/>
        </w:rPr>
      </w:pPr>
    </w:p>
    <w:p w14:paraId="50C1EAD7">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80" w:lineRule="exact"/>
        <w:ind w:right="0" w:rightChars="0"/>
        <w:jc w:val="both"/>
        <w:textAlignment w:val="auto"/>
        <w:rPr>
          <w:rFonts w:ascii="微软雅黑" w:hAnsi="微软雅黑" w:eastAsia="微软雅黑" w:cs="微软雅黑"/>
          <w:color w:val="333333"/>
          <w:sz w:val="44"/>
          <w:szCs w:val="44"/>
          <w:shd w:val="clear" w:color="auto" w:fill="FFFFFF"/>
        </w:rPr>
      </w:pPr>
    </w:p>
    <w:p w14:paraId="435A9246">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宋体" w:hAnsi="宋体" w:eastAsia="宋体" w:cs="宋体"/>
          <w:b/>
          <w:bCs/>
          <w:color w:val="333333"/>
          <w:sz w:val="36"/>
          <w:szCs w:val="36"/>
          <w:shd w:val="clear" w:color="auto" w:fill="FFFFFF"/>
        </w:rPr>
      </w:pPr>
      <w:r>
        <w:rPr>
          <w:rFonts w:hint="eastAsia" w:ascii="宋体" w:hAnsi="宋体" w:eastAsia="宋体" w:cs="宋体"/>
          <w:b/>
          <w:bCs/>
          <w:color w:val="333333"/>
          <w:sz w:val="36"/>
          <w:szCs w:val="36"/>
          <w:shd w:val="clear" w:color="auto" w:fill="FFFFFF"/>
        </w:rPr>
        <w:t>第一部分   廉江市人力资源和社会保障局概况</w:t>
      </w:r>
    </w:p>
    <w:p w14:paraId="21F1EFA8">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（一）部门主要职责</w:t>
      </w:r>
    </w:p>
    <w:p w14:paraId="4F10D64F">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廉江市人力资源和社会保障局贯彻执行人力资源和社会保障事业发展的方针政策和法律法规，负责全市就业、人才、社会保险、劳动者维权、机关企事业单位人员工资福利、事业单位人事制度改革、公务员和参公单位人员以及军转干部管理等工作。</w:t>
      </w:r>
    </w:p>
    <w:p w14:paraId="1BA3760F">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（二）机构设置</w:t>
      </w:r>
    </w:p>
    <w:p w14:paraId="52D7CB5A">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机构设置：按照部门决算编报要求，本部门的下属事业单位独立编制2016年决算报表，没有纳入本部门汇总。其中：廉江市社会保险基金管理局。</w:t>
      </w:r>
    </w:p>
    <w:p w14:paraId="4510EC6E">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p>
    <w:p w14:paraId="315FE2DD">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宋体" w:hAnsi="宋体" w:eastAsia="宋体" w:cs="宋体"/>
          <w:b/>
          <w:bCs/>
          <w:color w:val="333333"/>
          <w:sz w:val="36"/>
          <w:szCs w:val="36"/>
          <w:shd w:val="clear" w:color="auto" w:fill="FFFFFF"/>
        </w:rPr>
      </w:pPr>
      <w:r>
        <w:rPr>
          <w:rFonts w:hint="eastAsia" w:ascii="宋体" w:hAnsi="宋体" w:eastAsia="宋体" w:cs="宋体"/>
          <w:b/>
          <w:bCs/>
          <w:color w:val="333333"/>
          <w:sz w:val="36"/>
          <w:szCs w:val="36"/>
          <w:shd w:val="clear" w:color="auto" w:fill="FFFFFF"/>
        </w:rPr>
        <w:t>第二部分 廉江市人力资源和社会保障局2016年部门决算情况说明</w:t>
      </w:r>
    </w:p>
    <w:p w14:paraId="5E85884D">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一、2016年度收入支出决算总体情况说明</w:t>
      </w:r>
    </w:p>
    <w:p w14:paraId="562A8CCF">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（一）年度收入总体情况</w:t>
      </w:r>
    </w:p>
    <w:p w14:paraId="571B5ADA">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32"/>
          <w:szCs w:val="32"/>
          <w:shd w:val="clear" w:color="auto" w:fill="FFFFFF"/>
        </w:rPr>
      </w:pPr>
      <w:r>
        <w:rPr>
          <w:rFonts w:hint="eastAsia" w:asciiTheme="minorEastAsia" w:hAnsiTheme="minorEastAsia" w:cstheme="minorEastAsia"/>
          <w:color w:val="333333"/>
          <w:sz w:val="28"/>
          <w:szCs w:val="28"/>
          <w:shd w:val="clear" w:color="auto" w:fill="FFFFFF"/>
        </w:rPr>
        <w:t>2016年收入决算8814万元，其中:政拨款收入8814万元，比上年决算数增加856.67万元，增加10.77%。主要原因：工资福利，对个人和家庭补助的拨款收入增加。</w:t>
      </w:r>
    </w:p>
    <w:p w14:paraId="5828659E">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（二）年度支出总体情况</w:t>
      </w:r>
    </w:p>
    <w:p w14:paraId="57143723">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2016年支出决算8814万元，其中：财政拨款支出8814万元。具体情况如下：</w:t>
      </w:r>
    </w:p>
    <w:p w14:paraId="506ABC4E">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color w:val="333333"/>
          <w:sz w:val="28"/>
          <w:szCs w:val="28"/>
          <w:shd w:val="clear" w:color="auto" w:fill="FFFFFF"/>
        </w:rPr>
      </w:pPr>
    </w:p>
    <w:p w14:paraId="74568F53">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32"/>
          <w:szCs w:val="32"/>
          <w:shd w:val="clear" w:color="auto" w:fill="FFFFFF"/>
        </w:rPr>
      </w:pPr>
      <w:r>
        <w:rPr>
          <w:rFonts w:hint="eastAsia" w:asciiTheme="minorEastAsia" w:hAnsiTheme="minorEastAsia" w:cstheme="minorEastAsia"/>
          <w:color w:val="333333"/>
          <w:sz w:val="28"/>
          <w:szCs w:val="28"/>
          <w:shd w:val="clear" w:color="auto" w:fill="FFFFFF"/>
          <w:lang w:val="en-US" w:eastAsia="zh-CN"/>
        </w:rPr>
        <w:t>社会保障和就业支出</w:t>
      </w:r>
      <w:r>
        <w:rPr>
          <w:rFonts w:hint="eastAsia" w:asciiTheme="minorEastAsia" w:hAnsiTheme="minorEastAsia" w:cstheme="minorEastAsia"/>
          <w:color w:val="333333"/>
          <w:sz w:val="28"/>
          <w:szCs w:val="28"/>
          <w:shd w:val="clear" w:color="auto" w:fill="FFFFFF"/>
        </w:rPr>
        <w:t>，主要用于人力资源和社会保障管理事务支出，行政运行支出，就业管理事务支出，其他人力资源和社会保障管理事务支出，行政事业单位离退休支出，就业补助支出，其他就业补助支出，其他社会保障和就业支出等，比上年决算数增加856.67万元，增长10.77%。主要原因就业补助和其他社会保障和就业支出增加。</w:t>
      </w:r>
    </w:p>
    <w:p w14:paraId="4066F49C">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二、2016年度财政拨款收入支出总表说明</w:t>
      </w:r>
    </w:p>
    <w:p w14:paraId="33B5DB61">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（一）2016年度财政拨款收入说明</w:t>
      </w:r>
    </w:p>
    <w:p w14:paraId="01D45354">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廉江市人力资源和社会保障局2016年度财政拨款收入合计8814万元。其中：一般公共预算财政拨款收入8814万元。比年初预算数增加0万元，增加0%。</w:t>
      </w:r>
    </w:p>
    <w:p w14:paraId="0B8BD064">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（二）2016年度财政拨款支出说明</w:t>
      </w:r>
    </w:p>
    <w:p w14:paraId="61FFC3DF">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廉江市人力资源和社会保障局2016年度财政拨款支出合计8814万元。其中：一般公共预算财政拨款支出8814万元。比年初预算数增加0万元，增加0%。</w:t>
      </w:r>
    </w:p>
    <w:p w14:paraId="668D72B7">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Theme="minorEastAsia" w:hAnsiTheme="minorEastAsia" w:cstheme="minorEastAsia"/>
          <w:b/>
          <w:bCs/>
          <w:sz w:val="30"/>
          <w:szCs w:val="30"/>
          <w:shd w:val="clear" w:color="auto" w:fill="FFFFFF"/>
        </w:rPr>
      </w:pPr>
      <w:r>
        <w:rPr>
          <w:rFonts w:hint="eastAsia" w:asciiTheme="minorEastAsia" w:hAnsiTheme="minorEastAsia" w:cstheme="minorEastAsia"/>
          <w:b/>
          <w:bCs/>
          <w:sz w:val="30"/>
          <w:szCs w:val="30"/>
          <w:shd w:val="clear" w:color="auto" w:fill="FFFFFF"/>
        </w:rPr>
        <w:t>三、2015年度财政拨款“三公”经费支出决算情况说明</w:t>
      </w:r>
    </w:p>
    <w:p w14:paraId="5B65A0CB">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仿宋_GB2312" w:eastAsia="仿宋_GB2312"/>
          <w:b/>
          <w:sz w:val="32"/>
          <w:szCs w:val="32"/>
        </w:rPr>
      </w:pPr>
      <w:r>
        <w:rPr>
          <w:rFonts w:hint="eastAsia" w:ascii="仿宋_GB2312" w:hAnsi="宋体" w:eastAsia="仿宋_GB2312"/>
          <w:b/>
          <w:sz w:val="32"/>
          <w:szCs w:val="32"/>
        </w:rPr>
        <w:t>（一）“三公”经费财政拨款支出决算总体情况说明</w:t>
      </w:r>
    </w:p>
    <w:p w14:paraId="378CE8B8">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廉江市人力资源和社会保障局2016年度</w:t>
      </w:r>
      <w:r>
        <w:rPr>
          <w:rFonts w:hint="eastAsia" w:asciiTheme="minorEastAsia" w:hAnsiTheme="minorEastAsia" w:cstheme="minorEastAsia"/>
          <w:color w:val="333333"/>
          <w:sz w:val="28"/>
          <w:szCs w:val="28"/>
          <w:shd w:val="clear" w:color="auto" w:fill="FFFFFF"/>
          <w:lang w:eastAsia="zh-CN"/>
        </w:rPr>
        <w:t>“三公”经费</w:t>
      </w:r>
      <w:r>
        <w:rPr>
          <w:rFonts w:hint="eastAsia" w:asciiTheme="minorEastAsia" w:hAnsiTheme="minorEastAsia" w:cstheme="minorEastAsia"/>
          <w:color w:val="333333"/>
          <w:sz w:val="28"/>
          <w:szCs w:val="28"/>
          <w:shd w:val="clear" w:color="auto" w:fill="FFFFFF"/>
        </w:rPr>
        <w:t>财政拨款支出共</w:t>
      </w:r>
      <w:r>
        <w:rPr>
          <w:rFonts w:hint="eastAsia" w:asciiTheme="minorEastAsia" w:hAnsiTheme="minorEastAsia" w:cstheme="minorEastAsia"/>
          <w:color w:val="333333"/>
          <w:sz w:val="28"/>
          <w:szCs w:val="28"/>
          <w:shd w:val="clear" w:color="auto" w:fill="FFFFFF"/>
          <w:lang w:val="en-US" w:eastAsia="zh-CN"/>
        </w:rPr>
        <w:t>5</w:t>
      </w:r>
      <w:r>
        <w:rPr>
          <w:rFonts w:hint="eastAsia" w:asciiTheme="minorEastAsia" w:hAnsiTheme="minorEastAsia" w:cstheme="minorEastAsia"/>
          <w:color w:val="333333"/>
          <w:sz w:val="28"/>
          <w:szCs w:val="28"/>
          <w:shd w:val="clear" w:color="auto" w:fill="FFFFFF"/>
        </w:rPr>
        <w:t>.8 万元，完成预算</w:t>
      </w:r>
      <w:r>
        <w:rPr>
          <w:rFonts w:hint="eastAsia" w:asciiTheme="minorEastAsia" w:hAnsiTheme="minorEastAsia" w:cstheme="minorEastAsia"/>
          <w:color w:val="333333"/>
          <w:sz w:val="28"/>
          <w:szCs w:val="28"/>
          <w:shd w:val="clear" w:color="auto" w:fill="FFFFFF"/>
          <w:lang w:val="en-US" w:eastAsia="zh-CN"/>
        </w:rPr>
        <w:t>4</w:t>
      </w:r>
      <w:r>
        <w:rPr>
          <w:rFonts w:hint="eastAsia" w:asciiTheme="minorEastAsia" w:hAnsiTheme="minorEastAsia" w:cstheme="minorEastAsia"/>
          <w:color w:val="333333"/>
          <w:sz w:val="28"/>
          <w:szCs w:val="28"/>
          <w:shd w:val="clear" w:color="auto" w:fill="FFFFFF"/>
        </w:rPr>
        <w:t>.8万元的1</w:t>
      </w:r>
      <w:r>
        <w:rPr>
          <w:rFonts w:hint="eastAsia" w:asciiTheme="minorEastAsia" w:hAnsiTheme="minorEastAsia" w:cstheme="minorEastAsia"/>
          <w:color w:val="333333"/>
          <w:sz w:val="28"/>
          <w:szCs w:val="28"/>
          <w:shd w:val="clear" w:color="auto" w:fill="FFFFFF"/>
          <w:lang w:val="en-US" w:eastAsia="zh-CN"/>
        </w:rPr>
        <w:t>20.8</w:t>
      </w:r>
      <w:r>
        <w:rPr>
          <w:rFonts w:hint="eastAsia" w:asciiTheme="minorEastAsia" w:hAnsiTheme="minorEastAsia" w:cstheme="minorEastAsia"/>
          <w:color w:val="333333"/>
          <w:sz w:val="28"/>
          <w:szCs w:val="28"/>
          <w:shd w:val="clear" w:color="auto" w:fill="FFFFFF"/>
        </w:rPr>
        <w:t xml:space="preserve"> %。其中：因公出国（境）费支出决算为0万元，公务用车购置及运行维护费支出决算为5.4万元，完成预算4.8万元的112.5%；公务接待费支出决算为0.4万元</w:t>
      </w:r>
      <w:r>
        <w:rPr>
          <w:rFonts w:hint="eastAsia" w:asciiTheme="minorEastAsia" w:hAnsiTheme="minorEastAsia" w:cstheme="minorEastAsia"/>
          <w:color w:val="333333"/>
          <w:sz w:val="28"/>
          <w:szCs w:val="28"/>
          <w:shd w:val="clear" w:color="auto" w:fill="FFFFFF"/>
          <w:lang w:eastAsia="zh-CN"/>
        </w:rPr>
        <w:t>。</w:t>
      </w:r>
    </w:p>
    <w:p w14:paraId="294818C6">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与上年相比，2016年度“三公”经费财政拨款支出决算数比上年减少8.5万元，下降59.44%。其中：公务用车购置及运行维护费支出决算减少7.9万元，下降59.40%；公务接待费支出决算减少0.6万元，下降60%。公务用车购置及运行维护费，公务接待费支出减少主要原因是认真</w:t>
      </w:r>
      <w:r>
        <w:rPr>
          <w:rFonts w:hint="eastAsia" w:asciiTheme="minorEastAsia" w:hAnsiTheme="minorEastAsia" w:cstheme="minorEastAsia"/>
          <w:color w:val="333333"/>
          <w:sz w:val="28"/>
          <w:szCs w:val="28"/>
          <w:shd w:val="clear" w:color="auto" w:fill="FFFFFF"/>
          <w:lang w:eastAsia="zh-CN"/>
        </w:rPr>
        <w:t>贯彻落实中央八项规定</w:t>
      </w:r>
      <w:r>
        <w:rPr>
          <w:rFonts w:hint="eastAsia" w:asciiTheme="minorEastAsia" w:hAnsiTheme="minorEastAsia" w:cstheme="minorEastAsia"/>
          <w:color w:val="333333"/>
          <w:sz w:val="28"/>
          <w:szCs w:val="28"/>
          <w:shd w:val="clear" w:color="auto" w:fill="FFFFFF"/>
        </w:rPr>
        <w:t>精神和厉行节约支出。</w:t>
      </w:r>
    </w:p>
    <w:p w14:paraId="2C0C9C88">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仿宋_GB2312" w:hAnsi="宋体" w:eastAsia="仿宋_GB2312"/>
          <w:b/>
          <w:sz w:val="32"/>
          <w:szCs w:val="32"/>
        </w:rPr>
      </w:pPr>
      <w:r>
        <w:rPr>
          <w:rFonts w:hint="eastAsia" w:ascii="仿宋_GB2312" w:hAnsi="宋体" w:eastAsia="仿宋_GB2312"/>
          <w:b/>
          <w:sz w:val="32"/>
          <w:szCs w:val="32"/>
        </w:rPr>
        <w:t>（二）2016年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财政拨款支出共 5.8 万元，具体情况如下：</w:t>
      </w:r>
    </w:p>
    <w:p w14:paraId="20B21AE3">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1.公务用车购置及运行维护费支出5.4万元，主要包括： 公务车保有量 2 辆，全年运行维护费支出 5.4 万元，平均每辆2.7 万元。</w:t>
      </w:r>
    </w:p>
    <w:p w14:paraId="5A08E066">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2.公务接待费支出 0.4 万元，主要用于接待上级部门检查有关业务支出。</w:t>
      </w:r>
    </w:p>
    <w:p w14:paraId="519DD63B">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仿宋_GB2312" w:hAnsi="宋体" w:eastAsia="仿宋_GB2312"/>
          <w:b/>
          <w:sz w:val="32"/>
          <w:szCs w:val="32"/>
        </w:rPr>
      </w:pPr>
      <w:r>
        <w:rPr>
          <w:rFonts w:hint="eastAsia" w:ascii="仿宋_GB2312" w:hAnsi="宋体" w:eastAsia="仿宋_GB2312"/>
          <w:b/>
          <w:sz w:val="32"/>
          <w:szCs w:val="32"/>
        </w:rPr>
        <w:t>四、其他重要事项的情况说明</w:t>
      </w:r>
    </w:p>
    <w:p w14:paraId="4E0E2F1A">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仿宋_GB2312" w:hAnsi="宋体" w:eastAsia="仿宋_GB2312"/>
          <w:b/>
          <w:sz w:val="32"/>
          <w:szCs w:val="32"/>
        </w:rPr>
      </w:pPr>
      <w:r>
        <w:rPr>
          <w:rFonts w:hint="eastAsia" w:ascii="仿宋_GB2312" w:hAnsi="宋体" w:eastAsia="仿宋_GB2312"/>
          <w:b/>
          <w:sz w:val="32"/>
          <w:szCs w:val="32"/>
        </w:rPr>
        <w:t>（一）关于机关运行经费支出说明</w:t>
      </w:r>
    </w:p>
    <w:p w14:paraId="6028DB89">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2016年本部门机关运行支出</w:t>
      </w:r>
      <w:r>
        <w:rPr>
          <w:rFonts w:hint="eastAsia" w:asciiTheme="minorEastAsia" w:hAnsiTheme="minorEastAsia" w:cstheme="minorEastAsia"/>
          <w:color w:val="333333"/>
          <w:sz w:val="28"/>
          <w:szCs w:val="28"/>
          <w:shd w:val="clear" w:color="auto" w:fill="FFFFFF"/>
          <w:lang w:val="en-US" w:eastAsia="zh-CN"/>
        </w:rPr>
        <w:t>66.70</w:t>
      </w:r>
      <w:r>
        <w:rPr>
          <w:rFonts w:hint="eastAsia" w:asciiTheme="minorEastAsia" w:hAnsiTheme="minorEastAsia" w:cstheme="minorEastAsia"/>
          <w:color w:val="333333"/>
          <w:sz w:val="28"/>
          <w:szCs w:val="28"/>
          <w:shd w:val="clear" w:color="auto" w:fill="FFFFFF"/>
        </w:rPr>
        <w:t>万元，比上年</w:t>
      </w:r>
      <w:r>
        <w:rPr>
          <w:rFonts w:hint="eastAsia" w:asciiTheme="minorEastAsia" w:hAnsiTheme="minorEastAsia" w:cstheme="minorEastAsia"/>
          <w:color w:val="333333"/>
          <w:sz w:val="28"/>
          <w:szCs w:val="28"/>
          <w:shd w:val="clear" w:color="auto" w:fill="FFFFFF"/>
          <w:lang w:val="en-US" w:eastAsia="zh-CN"/>
        </w:rPr>
        <w:t>减少25.89</w:t>
      </w:r>
      <w:r>
        <w:rPr>
          <w:rFonts w:hint="eastAsia" w:asciiTheme="minorEastAsia" w:hAnsiTheme="minorEastAsia" w:cstheme="minorEastAsia"/>
          <w:color w:val="333333"/>
          <w:sz w:val="28"/>
          <w:szCs w:val="28"/>
          <w:shd w:val="clear" w:color="auto" w:fill="FFFFFF"/>
        </w:rPr>
        <w:t>万元，</w:t>
      </w:r>
      <w:r>
        <w:rPr>
          <w:rFonts w:hint="eastAsia" w:asciiTheme="minorEastAsia" w:hAnsiTheme="minorEastAsia" w:cstheme="minorEastAsia"/>
          <w:color w:val="333333"/>
          <w:sz w:val="28"/>
          <w:szCs w:val="28"/>
          <w:shd w:val="clear" w:color="auto" w:fill="FFFFFF"/>
          <w:lang w:val="en-US" w:eastAsia="zh-CN"/>
        </w:rPr>
        <w:t>减少27.96</w:t>
      </w:r>
      <w:r>
        <w:rPr>
          <w:rFonts w:hint="eastAsia" w:asciiTheme="minorEastAsia" w:hAnsiTheme="minorEastAsia" w:cstheme="minorEastAsia"/>
          <w:color w:val="333333"/>
          <w:sz w:val="28"/>
          <w:szCs w:val="28"/>
          <w:shd w:val="clear" w:color="auto" w:fill="FFFFFF"/>
        </w:rPr>
        <w:t>%。主要原因：</w:t>
      </w:r>
      <w:r>
        <w:rPr>
          <w:rFonts w:hint="eastAsia" w:asciiTheme="minorEastAsia" w:hAnsiTheme="minorEastAsia" w:cstheme="minorEastAsia"/>
          <w:color w:val="333333"/>
          <w:sz w:val="28"/>
          <w:szCs w:val="28"/>
          <w:shd w:val="clear" w:color="auto" w:fill="FFFFFF"/>
          <w:lang w:val="en-US" w:eastAsia="zh-CN"/>
        </w:rPr>
        <w:t>倡导厉行节约，印刷费、水电费、邮电费等费用减少。</w:t>
      </w:r>
    </w:p>
    <w:p w14:paraId="125DD96D">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仿宋_GB2312" w:hAnsi="宋体" w:eastAsia="仿宋_GB2312"/>
          <w:b/>
          <w:sz w:val="32"/>
          <w:szCs w:val="32"/>
        </w:rPr>
      </w:pPr>
      <w:r>
        <w:rPr>
          <w:rFonts w:hint="eastAsia" w:ascii="仿宋_GB2312" w:hAnsi="宋体" w:eastAsia="仿宋_GB2312"/>
          <w:b/>
          <w:sz w:val="32"/>
          <w:szCs w:val="32"/>
        </w:rPr>
        <w:t>（二）政府采购支出情况说明</w:t>
      </w:r>
    </w:p>
    <w:p w14:paraId="31D799E2">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2016年本部门政府采购支出总额0万元，其中：政府采购货物支出0万元、政府采购工程支出0万元、政府采购服务支出0万元。</w:t>
      </w:r>
    </w:p>
    <w:p w14:paraId="3673884A">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仿宋_GB2312" w:hAnsi="宋体" w:eastAsia="仿宋_GB2312"/>
          <w:b/>
          <w:sz w:val="32"/>
          <w:szCs w:val="32"/>
        </w:rPr>
      </w:pPr>
      <w:r>
        <w:rPr>
          <w:rFonts w:hint="eastAsia" w:ascii="仿宋_GB2312" w:hAnsi="宋体" w:eastAsia="仿宋_GB2312"/>
          <w:b/>
          <w:sz w:val="32"/>
          <w:szCs w:val="32"/>
        </w:rPr>
        <w:t>（三）关于国有资产占用情况说明</w:t>
      </w:r>
    </w:p>
    <w:p w14:paraId="1545CEBD">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firstLine="560" w:firstLineChars="200"/>
        <w:textAlignment w:val="auto"/>
        <w:rPr>
          <w:rFonts w:hint="eastAsia" w:asciiTheme="minorEastAsia" w:hAnsiTheme="minorEastAsia" w:cstheme="minorEastAsia"/>
          <w:color w:val="333333"/>
          <w:sz w:val="28"/>
          <w:szCs w:val="28"/>
          <w:shd w:val="clear" w:color="auto" w:fill="FFFFFF"/>
        </w:rPr>
      </w:pPr>
      <w:r>
        <w:rPr>
          <w:rFonts w:hint="eastAsia" w:asciiTheme="minorEastAsia" w:hAnsiTheme="minorEastAsia" w:cstheme="minorEastAsia"/>
          <w:color w:val="333333"/>
          <w:sz w:val="28"/>
          <w:szCs w:val="28"/>
          <w:shd w:val="clear" w:color="auto" w:fill="FFFFFF"/>
        </w:rPr>
        <w:t>截至2016年12月31日，本部门共有车辆2辆，其中，一般公务用车2辆。</w:t>
      </w:r>
    </w:p>
    <w:p w14:paraId="43940349">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hint="eastAsia" w:asciiTheme="minorEastAsia" w:hAnsiTheme="minorEastAsia" w:cstheme="minorEastAsia"/>
          <w:color w:val="333333"/>
          <w:sz w:val="28"/>
          <w:szCs w:val="28"/>
          <w:shd w:val="clear" w:color="auto" w:fill="FFFFFF"/>
        </w:rPr>
      </w:pPr>
    </w:p>
    <w:p w14:paraId="77C9CD8F">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00" w:lineRule="exact"/>
        <w:ind w:right="0" w:rightChars="0"/>
        <w:textAlignment w:val="auto"/>
        <w:rPr>
          <w:rFonts w:ascii="仿宋_GB2312" w:hAnsi="宋体" w:eastAsia="仿宋_GB2312"/>
          <w:b/>
          <w:sz w:val="32"/>
          <w:szCs w:val="32"/>
        </w:rPr>
      </w:pPr>
      <w:r>
        <w:rPr>
          <w:rFonts w:hint="eastAsia" w:ascii="仿宋_GB2312" w:hAnsi="宋体" w:eastAsia="仿宋_GB2312"/>
          <w:b/>
          <w:sz w:val="32"/>
          <w:szCs w:val="32"/>
        </w:rPr>
        <w:t>第三部分  名词解释</w:t>
      </w:r>
    </w:p>
    <w:p w14:paraId="16A4B8C2">
      <w:pPr>
        <w:keepNext w:val="0"/>
        <w:keepLines w:val="0"/>
        <w:pageBreakBefore w:val="0"/>
        <w:numPr>
          <w:ilvl w:val="0"/>
          <w:numId w:val="1"/>
        </w:numPr>
        <w:kinsoku/>
        <w:wordWrap/>
        <w:overflowPunct/>
        <w:topLinePunct w:val="0"/>
        <w:autoSpaceDE/>
        <w:autoSpaceDN/>
        <w:bidi w:val="0"/>
        <w:adjustRightInd/>
        <w:snapToGrid/>
        <w:spacing w:line="600" w:lineRule="exact"/>
        <w:ind w:right="0" w:rightChars="0" w:firstLine="551" w:firstLineChars="196"/>
        <w:textAlignment w:val="auto"/>
        <w:rPr>
          <w:rFonts w:asciiTheme="minorEastAsia" w:hAnsiTheme="minorEastAsia" w:cstheme="minorEastAsia"/>
          <w:color w:val="333333"/>
          <w:kern w:val="0"/>
          <w:sz w:val="32"/>
          <w:szCs w:val="32"/>
          <w:shd w:val="clear" w:color="auto" w:fill="FFFFFF"/>
          <w:lang w:bidi="ar"/>
        </w:rPr>
      </w:pPr>
      <w:r>
        <w:rPr>
          <w:rFonts w:hint="eastAsia" w:asciiTheme="minorEastAsia" w:hAnsiTheme="minorEastAsia" w:cstheme="minorEastAsia"/>
          <w:b/>
          <w:sz w:val="28"/>
          <w:szCs w:val="28"/>
        </w:rPr>
        <w:t>财政拨款收入：</w:t>
      </w:r>
      <w:r>
        <w:rPr>
          <w:rFonts w:hint="eastAsia" w:asciiTheme="minorEastAsia" w:hAnsiTheme="minorEastAsia" w:cstheme="minorEastAsia"/>
          <w:color w:val="333333"/>
          <w:kern w:val="0"/>
          <w:sz w:val="28"/>
          <w:szCs w:val="28"/>
          <w:shd w:val="clear" w:color="auto" w:fill="FFFFFF"/>
          <w:lang w:bidi="ar"/>
        </w:rPr>
        <w:t>指财政当年拨付的资金事业收入。</w:t>
      </w:r>
    </w:p>
    <w:p w14:paraId="39E918B4">
      <w:pPr>
        <w:keepNext w:val="0"/>
        <w:keepLines w:val="0"/>
        <w:pageBreakBefore w:val="0"/>
        <w:kinsoku/>
        <w:wordWrap/>
        <w:overflowPunct/>
        <w:topLinePunct w:val="0"/>
        <w:autoSpaceDE/>
        <w:autoSpaceDN/>
        <w:bidi w:val="0"/>
        <w:adjustRightInd/>
        <w:snapToGrid/>
        <w:spacing w:line="600" w:lineRule="exact"/>
        <w:ind w:left="1" w:right="0" w:rightChars="0" w:firstLine="551" w:firstLineChars="196"/>
        <w:textAlignment w:val="auto"/>
        <w:rPr>
          <w:rFonts w:asciiTheme="minorEastAsia" w:hAnsiTheme="minorEastAsia" w:cstheme="minorEastAsia"/>
          <w:color w:val="333333"/>
          <w:kern w:val="0"/>
          <w:sz w:val="28"/>
          <w:szCs w:val="28"/>
          <w:shd w:val="clear" w:color="auto" w:fill="FFFFFF"/>
          <w:lang w:bidi="ar"/>
        </w:rPr>
      </w:pPr>
      <w:r>
        <w:rPr>
          <w:rFonts w:hint="eastAsia" w:asciiTheme="minorEastAsia" w:hAnsiTheme="minorEastAsia" w:cstheme="minorEastAsia"/>
          <w:b/>
          <w:sz w:val="28"/>
          <w:szCs w:val="28"/>
        </w:rPr>
        <w:t>二、基本支出：</w:t>
      </w:r>
      <w:r>
        <w:rPr>
          <w:rFonts w:hint="eastAsia" w:asciiTheme="minorEastAsia" w:hAnsiTheme="minorEastAsia" w:cstheme="minorEastAsia"/>
          <w:color w:val="333333"/>
          <w:kern w:val="0"/>
          <w:sz w:val="28"/>
          <w:szCs w:val="28"/>
          <w:shd w:val="clear" w:color="auto" w:fill="FFFFFF"/>
          <w:lang w:bidi="ar"/>
        </w:rPr>
        <w:t>指为保障机构正常运转、完成日常工作任务面发生的人员支出和公用支出。</w:t>
      </w:r>
    </w:p>
    <w:p w14:paraId="258AB1E7">
      <w:pPr>
        <w:keepNext w:val="0"/>
        <w:keepLines w:val="0"/>
        <w:pageBreakBefore w:val="0"/>
        <w:kinsoku/>
        <w:wordWrap/>
        <w:overflowPunct/>
        <w:topLinePunct w:val="0"/>
        <w:autoSpaceDE/>
        <w:autoSpaceDN/>
        <w:bidi w:val="0"/>
        <w:adjustRightInd/>
        <w:snapToGrid/>
        <w:spacing w:line="600" w:lineRule="exact"/>
        <w:ind w:left="1" w:right="0" w:rightChars="0" w:firstLine="551" w:firstLineChars="196"/>
        <w:textAlignment w:val="auto"/>
        <w:rPr>
          <w:rFonts w:hint="eastAsia" w:asciiTheme="minorEastAsia" w:hAnsiTheme="minorEastAsia" w:cstheme="minorEastAsia"/>
          <w:color w:val="333333"/>
          <w:kern w:val="0"/>
          <w:sz w:val="28"/>
          <w:szCs w:val="28"/>
          <w:shd w:val="clear" w:color="auto" w:fill="FFFFFF"/>
          <w:lang w:bidi="ar"/>
        </w:rPr>
      </w:pPr>
      <w:r>
        <w:rPr>
          <w:rFonts w:hint="eastAsia" w:asciiTheme="minorEastAsia" w:hAnsiTheme="minorEastAsia" w:cstheme="minorEastAsia"/>
          <w:b/>
          <w:sz w:val="28"/>
          <w:szCs w:val="28"/>
        </w:rPr>
        <w:t>三、项目支出：</w:t>
      </w:r>
      <w:r>
        <w:rPr>
          <w:rFonts w:hint="eastAsia" w:asciiTheme="minorEastAsia" w:hAnsiTheme="minorEastAsia" w:cstheme="minorEastAsia"/>
          <w:color w:val="333333"/>
          <w:kern w:val="0"/>
          <w:sz w:val="28"/>
          <w:szCs w:val="28"/>
          <w:shd w:val="clear" w:color="auto" w:fill="FFFFFF"/>
          <w:lang w:bidi="ar"/>
        </w:rPr>
        <w:t>指在基本支出这外为完成特定行政任务和事业发展目标所发生的支出。</w:t>
      </w:r>
    </w:p>
    <w:p w14:paraId="08769C16">
      <w:pPr>
        <w:keepNext w:val="0"/>
        <w:keepLines w:val="0"/>
        <w:pageBreakBefore w:val="0"/>
        <w:kinsoku/>
        <w:wordWrap/>
        <w:overflowPunct/>
        <w:topLinePunct w:val="0"/>
        <w:autoSpaceDE/>
        <w:autoSpaceDN/>
        <w:bidi w:val="0"/>
        <w:adjustRightInd/>
        <w:snapToGrid/>
        <w:spacing w:line="600" w:lineRule="exact"/>
        <w:ind w:left="1" w:right="0" w:rightChars="0" w:firstLine="551" w:firstLineChars="196"/>
        <w:textAlignment w:val="auto"/>
        <w:rPr>
          <w:rFonts w:asciiTheme="minorEastAsia" w:hAnsiTheme="minorEastAsia" w:cstheme="minorEastAsia"/>
          <w:color w:val="333333"/>
          <w:kern w:val="0"/>
          <w:sz w:val="28"/>
          <w:szCs w:val="28"/>
          <w:shd w:val="clear" w:color="auto" w:fill="FFFFFF"/>
          <w:lang w:bidi="ar"/>
        </w:rPr>
      </w:pPr>
      <w:r>
        <w:rPr>
          <w:rFonts w:hint="eastAsia" w:asciiTheme="minorEastAsia" w:hAnsiTheme="minorEastAsia" w:cstheme="minorEastAsia"/>
          <w:b/>
          <w:sz w:val="28"/>
          <w:szCs w:val="28"/>
        </w:rPr>
        <w:t>四、“三公”经费：</w:t>
      </w:r>
      <w:r>
        <w:rPr>
          <w:rFonts w:hint="eastAsia" w:asciiTheme="minorEastAsia" w:hAnsiTheme="minorEastAsia" w:cstheme="minorEastAsia"/>
          <w:color w:val="333333"/>
          <w:kern w:val="0"/>
          <w:sz w:val="28"/>
          <w:szCs w:val="28"/>
          <w:shd w:val="clear" w:color="auto" w:fill="FFFFFF"/>
          <w:lang w:bidi="ar"/>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14:paraId="70B3477B">
      <w:pPr>
        <w:keepNext w:val="0"/>
        <w:keepLines w:val="0"/>
        <w:pageBreakBefore w:val="0"/>
        <w:kinsoku/>
        <w:wordWrap/>
        <w:overflowPunct/>
        <w:topLinePunct w:val="0"/>
        <w:autoSpaceDE/>
        <w:autoSpaceDN/>
        <w:bidi w:val="0"/>
        <w:adjustRightInd/>
        <w:snapToGrid/>
        <w:spacing w:line="600" w:lineRule="exact"/>
        <w:ind w:left="1" w:right="0" w:rightChars="0" w:firstLine="551" w:firstLineChars="196"/>
        <w:textAlignment w:val="auto"/>
        <w:rPr>
          <w:rFonts w:asciiTheme="minorEastAsia" w:hAnsiTheme="minorEastAsia" w:cstheme="minorEastAsia"/>
          <w:color w:val="333333"/>
          <w:kern w:val="0"/>
          <w:sz w:val="28"/>
          <w:szCs w:val="28"/>
          <w:shd w:val="clear" w:color="auto" w:fill="FFFFFF"/>
          <w:lang w:bidi="ar"/>
        </w:rPr>
      </w:pPr>
      <w:r>
        <w:rPr>
          <w:rFonts w:hint="eastAsia" w:asciiTheme="minorEastAsia" w:hAnsiTheme="minorEastAsia" w:cstheme="minorEastAsia"/>
          <w:b/>
          <w:sz w:val="28"/>
          <w:szCs w:val="28"/>
        </w:rPr>
        <w:t>五、机关运行经费：</w:t>
      </w:r>
      <w:r>
        <w:rPr>
          <w:rFonts w:hint="eastAsia" w:asciiTheme="minorEastAsia" w:hAnsiTheme="minorEastAsia" w:cstheme="minorEastAsia"/>
          <w:color w:val="333333"/>
          <w:kern w:val="0"/>
          <w:sz w:val="28"/>
          <w:szCs w:val="28"/>
          <w:shd w:val="clear" w:color="auto" w:fill="FFFFFF"/>
          <w:lang w:bidi="ar"/>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14:paraId="2F67F7D1">
      <w:pPr>
        <w:keepNext w:val="0"/>
        <w:keepLines w:val="0"/>
        <w:pageBreakBefore w:val="0"/>
        <w:kinsoku/>
        <w:wordWrap/>
        <w:overflowPunct/>
        <w:topLinePunct w:val="0"/>
        <w:autoSpaceDE/>
        <w:autoSpaceDN/>
        <w:bidi w:val="0"/>
        <w:adjustRightInd/>
        <w:snapToGrid/>
        <w:spacing w:line="600" w:lineRule="exact"/>
        <w:ind w:left="1" w:right="0" w:rightChars="0" w:firstLine="548" w:firstLineChars="196"/>
        <w:textAlignment w:val="auto"/>
        <w:rPr>
          <w:rFonts w:asciiTheme="minorEastAsia" w:hAnsiTheme="minorEastAsia" w:cstheme="minorEastAsia"/>
          <w:color w:val="333333"/>
          <w:kern w:val="0"/>
          <w:sz w:val="28"/>
          <w:szCs w:val="28"/>
          <w:shd w:val="clear" w:color="auto" w:fill="FFFFFF"/>
          <w:lang w:bidi="ar"/>
        </w:rPr>
      </w:pPr>
    </w:p>
    <w:p w14:paraId="3866FE0B">
      <w:pPr>
        <w:keepNext w:val="0"/>
        <w:keepLines w:val="0"/>
        <w:pageBreakBefore w:val="0"/>
        <w:kinsoku/>
        <w:wordWrap/>
        <w:overflowPunct/>
        <w:topLinePunct w:val="0"/>
        <w:autoSpaceDE/>
        <w:autoSpaceDN/>
        <w:bidi w:val="0"/>
        <w:adjustRightInd/>
        <w:snapToGrid/>
        <w:spacing w:line="600" w:lineRule="exact"/>
        <w:ind w:right="0" w:rightChars="0" w:firstLine="723" w:firstLineChars="200"/>
        <w:textAlignment w:val="auto"/>
        <w:outlineLvl w:val="0"/>
        <w:rPr>
          <w:rFonts w:ascii="宋体" w:hAnsi="宋体"/>
          <w:b/>
          <w:sz w:val="36"/>
          <w:szCs w:val="36"/>
        </w:rPr>
      </w:pPr>
    </w:p>
    <w:p w14:paraId="4EC678E2">
      <w:pPr>
        <w:keepNext w:val="0"/>
        <w:keepLines w:val="0"/>
        <w:pageBreakBefore w:val="0"/>
        <w:kinsoku/>
        <w:wordWrap/>
        <w:overflowPunct/>
        <w:topLinePunct w:val="0"/>
        <w:autoSpaceDE/>
        <w:autoSpaceDN/>
        <w:bidi w:val="0"/>
        <w:adjustRightInd/>
        <w:snapToGrid/>
        <w:spacing w:line="600" w:lineRule="exact"/>
        <w:ind w:right="0" w:rightChars="0" w:firstLine="723" w:firstLineChars="200"/>
        <w:textAlignment w:val="auto"/>
        <w:outlineLvl w:val="0"/>
        <w:rPr>
          <w:rFonts w:ascii="宋体" w:hAnsi="宋体"/>
          <w:b/>
          <w:sz w:val="36"/>
          <w:szCs w:val="36"/>
        </w:rPr>
      </w:pPr>
    </w:p>
    <w:p w14:paraId="67295394">
      <w:pPr>
        <w:keepNext w:val="0"/>
        <w:keepLines w:val="0"/>
        <w:pageBreakBefore w:val="0"/>
        <w:kinsoku/>
        <w:wordWrap/>
        <w:overflowPunct/>
        <w:topLinePunct w:val="0"/>
        <w:autoSpaceDE/>
        <w:autoSpaceDN/>
        <w:bidi w:val="0"/>
        <w:adjustRightInd/>
        <w:snapToGrid/>
        <w:spacing w:line="600" w:lineRule="exact"/>
        <w:ind w:right="0" w:rightChars="0" w:firstLine="723" w:firstLineChars="200"/>
        <w:textAlignment w:val="auto"/>
        <w:outlineLvl w:val="0"/>
        <w:rPr>
          <w:rFonts w:ascii="宋体" w:hAnsi="宋体"/>
          <w:b/>
          <w:sz w:val="36"/>
          <w:szCs w:val="36"/>
        </w:rPr>
      </w:pPr>
    </w:p>
    <w:p w14:paraId="3DEA037A">
      <w:pPr>
        <w:keepNext w:val="0"/>
        <w:keepLines w:val="0"/>
        <w:pageBreakBefore w:val="0"/>
        <w:kinsoku/>
        <w:wordWrap/>
        <w:overflowPunct/>
        <w:topLinePunct w:val="0"/>
        <w:autoSpaceDE/>
        <w:autoSpaceDN/>
        <w:bidi w:val="0"/>
        <w:adjustRightInd/>
        <w:snapToGrid/>
        <w:spacing w:line="600" w:lineRule="exact"/>
        <w:ind w:right="0" w:righ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F50C1"/>
    <w:multiLevelType w:val="singleLevel"/>
    <w:tmpl w:val="5A5F50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013"/>
    <w:rsid w:val="0007754F"/>
    <w:rsid w:val="003B4013"/>
    <w:rsid w:val="03983374"/>
    <w:rsid w:val="03F32E4D"/>
    <w:rsid w:val="059B0BBF"/>
    <w:rsid w:val="05A70938"/>
    <w:rsid w:val="08F87A6D"/>
    <w:rsid w:val="0A022A4B"/>
    <w:rsid w:val="0AD20E26"/>
    <w:rsid w:val="0C4E7436"/>
    <w:rsid w:val="0DAE59B1"/>
    <w:rsid w:val="0E14457B"/>
    <w:rsid w:val="0F964235"/>
    <w:rsid w:val="11FF34B7"/>
    <w:rsid w:val="18A502D7"/>
    <w:rsid w:val="1AB72D26"/>
    <w:rsid w:val="1B4033EC"/>
    <w:rsid w:val="1D05397D"/>
    <w:rsid w:val="1D2C5F1D"/>
    <w:rsid w:val="1F3405F9"/>
    <w:rsid w:val="222A696B"/>
    <w:rsid w:val="2718249C"/>
    <w:rsid w:val="27591E9A"/>
    <w:rsid w:val="28160CAC"/>
    <w:rsid w:val="2BF65AF8"/>
    <w:rsid w:val="2C623B94"/>
    <w:rsid w:val="2F244FE6"/>
    <w:rsid w:val="2F3D423E"/>
    <w:rsid w:val="33030A3B"/>
    <w:rsid w:val="3AAC3E47"/>
    <w:rsid w:val="3E391605"/>
    <w:rsid w:val="3EC55DFC"/>
    <w:rsid w:val="3EF97092"/>
    <w:rsid w:val="41DD61B3"/>
    <w:rsid w:val="479724F5"/>
    <w:rsid w:val="486133E0"/>
    <w:rsid w:val="4EBD2FF4"/>
    <w:rsid w:val="51F9221F"/>
    <w:rsid w:val="528A2871"/>
    <w:rsid w:val="535D56DE"/>
    <w:rsid w:val="5C6014DC"/>
    <w:rsid w:val="5D1E68C7"/>
    <w:rsid w:val="5DD0210B"/>
    <w:rsid w:val="5DE4010E"/>
    <w:rsid w:val="61093667"/>
    <w:rsid w:val="61CE71B3"/>
    <w:rsid w:val="65295DBA"/>
    <w:rsid w:val="65EF14AF"/>
    <w:rsid w:val="69060961"/>
    <w:rsid w:val="693E162C"/>
    <w:rsid w:val="69B1796F"/>
    <w:rsid w:val="6E455FE4"/>
    <w:rsid w:val="709F2127"/>
    <w:rsid w:val="71587ED8"/>
    <w:rsid w:val="771B55E1"/>
    <w:rsid w:val="771E38E3"/>
    <w:rsid w:val="7AD86A3E"/>
    <w:rsid w:val="7C2B316E"/>
    <w:rsid w:val="7D9B1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2000</Words>
  <Characters>2170</Characters>
  <Lines>16</Lines>
  <Paragraphs>4</Paragraphs>
  <TotalTime>0</TotalTime>
  <ScaleCrop>false</ScaleCrop>
  <LinksUpToDate>false</LinksUpToDate>
  <CharactersWithSpaces>2207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江雪</cp:lastModifiedBy>
  <dcterms:modified xsi:type="dcterms:W3CDTF">2025-01-26T03:07:37Z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eyJoZGlkIjoiYjRmZmQyNzA4YzA0NDAyMzBkMzI3N2ZlMzZkZjU4YjQiLCJ1c2VySWQiOiIzMDEwNTEwMjgifQ==</vt:lpwstr>
  </property>
  <property fmtid="{D5CDD505-2E9C-101B-9397-08002B2CF9AE}" pid="4" name="ICV">
    <vt:lpwstr>3F2D407DEAB046BB992DEEB35BE21B69_12</vt:lpwstr>
  </property>
</Properties>
</file>