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6D802"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  <w:bookmarkStart w:id="0" w:name="_GoBack"/>
      <w:bookmarkEnd w:id="0"/>
    </w:p>
    <w:p w14:paraId="5068CBAC"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 w14:paraId="5BE21221"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2015年</w:t>
      </w:r>
    </w:p>
    <w:p w14:paraId="1539A586"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廉江市人力资源和社会保障局部门决算</w:t>
      </w:r>
    </w:p>
    <w:p w14:paraId="7500336B"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 w14:paraId="1C6A63A4"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 w14:paraId="6D2F2704">
      <w:pPr>
        <w:ind w:left="42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目       录</w:t>
      </w:r>
    </w:p>
    <w:p w14:paraId="5BD05561">
      <w:pPr>
        <w:jc w:val="center"/>
        <w:rPr>
          <w:rFonts w:ascii="仿宋_GB2312" w:hAnsi="宋体" w:eastAsia="仿宋_GB2312"/>
          <w:sz w:val="32"/>
          <w:szCs w:val="32"/>
        </w:rPr>
      </w:pPr>
    </w:p>
    <w:p w14:paraId="10BFB3AA"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第一部分   廉江市人力资源和社会保障局概况</w:t>
      </w:r>
    </w:p>
    <w:p w14:paraId="7F4AB28A">
      <w:pPr>
        <w:spacing w:line="288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 部门职责</w:t>
      </w:r>
    </w:p>
    <w:p w14:paraId="32FD4236">
      <w:pPr>
        <w:spacing w:line="288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 机构设置</w:t>
      </w:r>
    </w:p>
    <w:p w14:paraId="36389EB9"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第二部分  廉江市人力资源和社会保障局2015年部门决算情况说明</w:t>
      </w:r>
    </w:p>
    <w:p w14:paraId="529C52CF">
      <w:pPr>
        <w:spacing w:line="288" w:lineRule="auto"/>
        <w:ind w:firstLine="72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>第三部分  名词解释</w:t>
      </w:r>
    </w:p>
    <w:p w14:paraId="13AB2B5F"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第四部分   廉江市人力资源和社会保障局2015年部门决算表</w:t>
      </w:r>
    </w:p>
    <w:p w14:paraId="56E5EA9B">
      <w:pPr>
        <w:spacing w:line="288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收入支出决算总表</w:t>
      </w:r>
    </w:p>
    <w:p w14:paraId="54A2E043">
      <w:pPr>
        <w:spacing w:line="288" w:lineRule="auto"/>
        <w:ind w:firstLine="640" w:firstLineChars="200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收入决算表</w:t>
      </w:r>
    </w:p>
    <w:p w14:paraId="577E9E1B">
      <w:pPr>
        <w:spacing w:line="288" w:lineRule="auto"/>
        <w:ind w:firstLine="640" w:firstLineChars="200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三、支出决算表</w:t>
      </w:r>
    </w:p>
    <w:p w14:paraId="060325A9">
      <w:pPr>
        <w:spacing w:line="288" w:lineRule="auto"/>
        <w:ind w:firstLine="640" w:firstLineChars="20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四、财政拨款收入支出决算总表</w:t>
      </w:r>
    </w:p>
    <w:p w14:paraId="48EE541B">
      <w:pPr>
        <w:spacing w:line="288" w:lineRule="auto"/>
        <w:ind w:firstLine="640" w:firstLineChars="200"/>
        <w:outlineLvl w:val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五、一般公共预算财政拨款支出决算表</w:t>
      </w:r>
    </w:p>
    <w:p w14:paraId="6AE4CB00"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六、一般公共预算财政拨款基本支出决算表</w:t>
      </w:r>
    </w:p>
    <w:p w14:paraId="0FDEA34B">
      <w:pPr>
        <w:spacing w:line="288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七、一般公共预算财政拨款“三公”经费支出决算表</w:t>
      </w:r>
    </w:p>
    <w:p w14:paraId="161561F6">
      <w:pPr>
        <w:spacing w:line="288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八、政府性基金预算财政拨款收入支出决算表</w:t>
      </w:r>
    </w:p>
    <w:p w14:paraId="234B54EF">
      <w:pPr>
        <w:pStyle w:val="2"/>
        <w:widowControl/>
        <w:shd w:val="clear" w:color="auto" w:fill="FFFFFF"/>
        <w:spacing w:beforeAutospacing="0" w:afterAutospacing="0"/>
        <w:jc w:val="both"/>
        <w:rPr>
          <w:rFonts w:ascii="微软雅黑" w:hAnsi="微软雅黑" w:eastAsia="微软雅黑" w:cs="微软雅黑"/>
          <w:color w:val="333333"/>
          <w:sz w:val="44"/>
          <w:szCs w:val="44"/>
          <w:shd w:val="clear" w:color="auto" w:fill="FFFFFF"/>
        </w:rPr>
      </w:pPr>
    </w:p>
    <w:p w14:paraId="25274A07">
      <w:pPr>
        <w:pStyle w:val="2"/>
        <w:widowControl/>
        <w:shd w:val="clear" w:color="auto" w:fill="FFFFFF"/>
        <w:spacing w:beforeAutospacing="0" w:afterAutospacing="0"/>
        <w:jc w:val="both"/>
        <w:rPr>
          <w:rFonts w:ascii="微软雅黑" w:hAnsi="微软雅黑" w:eastAsia="微软雅黑" w:cs="微软雅黑"/>
          <w:color w:val="333333"/>
          <w:sz w:val="44"/>
          <w:szCs w:val="44"/>
          <w:shd w:val="clear" w:color="auto" w:fill="FFFFFF"/>
        </w:rPr>
      </w:pPr>
    </w:p>
    <w:p w14:paraId="07451DE3">
      <w:pPr>
        <w:pStyle w:val="2"/>
        <w:widowControl/>
        <w:shd w:val="clear" w:color="auto" w:fill="FFFFFF"/>
        <w:spacing w:beforeAutospacing="0" w:afterAutospacing="0"/>
        <w:jc w:val="both"/>
        <w:rPr>
          <w:rFonts w:ascii="微软雅黑" w:hAnsi="微软雅黑" w:eastAsia="微软雅黑" w:cs="微软雅黑"/>
          <w:color w:val="333333"/>
          <w:sz w:val="44"/>
          <w:szCs w:val="44"/>
          <w:shd w:val="clear" w:color="auto" w:fill="FFFFFF"/>
        </w:rPr>
      </w:pPr>
    </w:p>
    <w:p w14:paraId="550980D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</w:pPr>
    </w:p>
    <w:p w14:paraId="22072A9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第一部分   廉江市人力资源和社会保障局概况</w:t>
      </w:r>
    </w:p>
    <w:p w14:paraId="08AA99B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（一）部门主要职责</w:t>
      </w:r>
    </w:p>
    <w:p w14:paraId="41B488F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贯彻执行人力资源和社会保障事业发展的方针政策和法律法规，负责全市就业、人才、社会保险、劳动者维权、机关企事业单位人员工资福利、事业单位人事制度改革、公务员和参公单位人员以及军转干部管理等工作。</w:t>
      </w:r>
    </w:p>
    <w:p w14:paraId="53C93C51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机构设置</w:t>
      </w:r>
    </w:p>
    <w:p w14:paraId="75B968F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机构设置：按照部门决算编报要求，本部门的下属事业单位独立编制2015年决算报表，没有纳入本部门汇总。其中：廉江市社会保险基金管理局。</w:t>
      </w:r>
    </w:p>
    <w:p w14:paraId="4FCAF3E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</w:p>
    <w:p w14:paraId="17E54BF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第二部分  廉江市人力资源和社会保障局2016年部门决算情况说明</w:t>
      </w:r>
    </w:p>
    <w:p w14:paraId="1E69F42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一、2015年度收入支出决算总体情况说明</w:t>
      </w:r>
    </w:p>
    <w:p w14:paraId="1D7E41E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（一）年度收入总体情况</w:t>
      </w:r>
    </w:p>
    <w:p w14:paraId="6135E80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2015年收入决算7957.33万元，其中：财政拨款收入7957.33万元，比上年决算数增加5183.4万元，增长186.86%。主要原因：就业补助和其他社会保障和就业支出的拨款增加。</w:t>
      </w:r>
    </w:p>
    <w:p w14:paraId="211B222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（二）年度支出总体情况</w:t>
      </w:r>
    </w:p>
    <w:p w14:paraId="3BBFF65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2015年支出决算7957.33万元，其中：财政拨款支出7957.33万元。具体情况如下：</w:t>
      </w:r>
    </w:p>
    <w:p w14:paraId="4B98D81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社会保障和就业支出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7957.33万元，主要用于人力资源和社会保障管理事务支出，行政运行支出，就业管理事务支出，其他人力资源和社会保障管理事务支出，行政事业单位离退休支出，就业补助支出，其他就业补助支出，其他社会保障和就业支出等，比上年决算数增加5183.4万元，增长186.86%。主要原因就业补助和其他社会保障和就业支出增加。</w:t>
      </w:r>
    </w:p>
    <w:p w14:paraId="279AE26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二、2015年度财政拨款收入支出总表说明</w:t>
      </w:r>
    </w:p>
    <w:p w14:paraId="7E0BC05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（一）2015年度财政拨款收入说明</w:t>
      </w:r>
    </w:p>
    <w:p w14:paraId="0AC80D6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廉江市人力资源和社会保障局2015年度财政拨款收入合计7957.33万元。其中：一般公共预算财政拨款收入7957.33万元。，比年初预算数增加7293.39万元，增加1098.5%，主要原因是就业补助拨款增加。</w:t>
      </w:r>
    </w:p>
    <w:p w14:paraId="5ECE18B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（二）2015年度财政拨款支出说明</w:t>
      </w:r>
    </w:p>
    <w:p w14:paraId="037546F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廉江市人力资源和社会保障局2015年度财政拨款支出合计7957.33万元。其中：一般公共预算财政拨款支出7957.33万元。比年初预算数增加7293.39万元，增加1098.5%，主要原因是就业补助拨款增加。</w:t>
      </w:r>
    </w:p>
    <w:p w14:paraId="31A3E7D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b/>
          <w:bCs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shd w:val="clear" w:color="auto" w:fill="FFFFFF"/>
        </w:rPr>
        <w:t>三、2015年度财政拨款“三公”经费支出决算情况说明</w:t>
      </w:r>
    </w:p>
    <w:p w14:paraId="2461E4D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（一）“三公”经费财政拨款支出决算总体情况说明</w:t>
      </w:r>
    </w:p>
    <w:p w14:paraId="4DA2772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廉江市人力资源和社会保障局2015年度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eastAsia="zh-CN"/>
        </w:rPr>
        <w:t>“三公”经费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财政拨款支出共 14.3万元，完成预算4.8万元的279.92%。其中：因公出国（境）费支出决算为0万元，公务用车购置及运行维护费支出决算为13.3万元，完成预算4.8万元的277.08%；公务接待费支出决算为1万元，完成预算0万元的100%。</w:t>
      </w:r>
    </w:p>
    <w:p w14:paraId="6D21B63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与上年相比，2015年度“三公”经费财政拨款支出决算数比上年减少4.53万元，下降24.06%。其中：公务用车购置及运行维护费支出决算增加3.95万元，增长42.25%；公务接待费支出决算减少万8.48元，下降89.45%。公务接待费支出减少主要原因是认真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eastAsia="zh-CN"/>
        </w:rPr>
        <w:t>贯彻落实中央八项规定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精神和厉行节约支出。</w:t>
      </w:r>
    </w:p>
    <w:p w14:paraId="07D4368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（二）2015年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“三公”经费</w:t>
      </w:r>
      <w:r>
        <w:rPr>
          <w:rFonts w:hint="eastAsia" w:ascii="仿宋_GB2312" w:hAnsi="宋体" w:eastAsia="仿宋_GB2312"/>
          <w:b/>
          <w:sz w:val="32"/>
          <w:szCs w:val="32"/>
        </w:rPr>
        <w:t>财政拨款支出共14.3 万元，具体情况如下：</w:t>
      </w:r>
    </w:p>
    <w:p w14:paraId="16BD0C4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1.公务用车购置及运行维护费支出13.3万元，主要包括： 公务车保有量 2 辆，全年运行维护费支出 13.3万元，平均每辆6.65 万元。</w:t>
      </w:r>
    </w:p>
    <w:p w14:paraId="4DEA645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2.公务接待费支出 1万元，主要用于接待上级部门检查有关业务支出。</w:t>
      </w:r>
    </w:p>
    <w:p w14:paraId="4C3E07E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四、其他重要事项的情况说明</w:t>
      </w:r>
    </w:p>
    <w:p w14:paraId="166BCD7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（一）关于机关运行经费支出说明</w:t>
      </w:r>
    </w:p>
    <w:p w14:paraId="4C607FC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2015年本部门机关运行经费支</w:t>
      </w: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</w:rPr>
        <w:t>出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92.59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万元，比上年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增加3.82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万元，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增加4.3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%。主要原因是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因为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完成工作任务的需要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办公费增加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。</w:t>
      </w:r>
    </w:p>
    <w:p w14:paraId="7FA922A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（二）政府采购支出情况说明</w:t>
      </w:r>
    </w:p>
    <w:p w14:paraId="2931249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2015年本部门政府采购支出总额0万元，其中：政府采购货物支出0万元、政府采购工程支出0万元、政府采购服务支出0万元。</w:t>
      </w:r>
    </w:p>
    <w:p w14:paraId="43FF25E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（三）关于国有资产占用情况说明</w:t>
      </w:r>
    </w:p>
    <w:p w14:paraId="3112B76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0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截至2015年12月31日，本部门共有车辆2辆，其中，一般公务用车2辆。</w:t>
      </w:r>
    </w:p>
    <w:p w14:paraId="47B9890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第三部分  名词解释</w:t>
      </w:r>
    </w:p>
    <w:p w14:paraId="1ABD661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2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kern w:val="2"/>
          <w:sz w:val="28"/>
          <w:szCs w:val="28"/>
        </w:rPr>
        <w:t>一、财政拨款收入：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指财政当年拨付的资金事业收入。</w:t>
      </w:r>
    </w:p>
    <w:p w14:paraId="069FE10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2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kern w:val="2"/>
          <w:sz w:val="28"/>
          <w:szCs w:val="28"/>
        </w:rPr>
        <w:t>二、基本支出：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指为保障机构正常运转、完成日常工作任务面发生的人员支出和公用支出。</w:t>
      </w:r>
    </w:p>
    <w:p w14:paraId="32CB850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562" w:firstLineChars="20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kern w:val="2"/>
          <w:sz w:val="28"/>
          <w:szCs w:val="28"/>
        </w:rPr>
        <w:t>三、项目支出：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指在基本支出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  <w:lang w:val="en-US" w:eastAsia="zh-CN"/>
        </w:rPr>
        <w:t>之</w:t>
      </w: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>外为完成特定行政任务和事业发展目标所发生的支出。</w:t>
      </w:r>
    </w:p>
    <w:p w14:paraId="092A32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" w:right="0" w:rightChars="0" w:firstLine="551" w:firstLineChars="196"/>
        <w:textAlignment w:val="auto"/>
        <w:outlineLvl w:val="9"/>
        <w:rPr>
          <w:rFonts w:asciiTheme="minorEastAsia" w:hAnsiTheme="minorEastAsia" w:cstheme="minorEastAsia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四、“三公”经费：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shd w:val="clear" w:color="auto" w:fill="FFFFFF"/>
          <w:lang w:bidi="ar"/>
        </w:rPr>
        <w:t>按照党中央、国务院有关文件及部门预算管理有关规定，“三公”经费包括因公出国（境）费、公务用车购置及运行费和公务接待费。（1）因公出国（境）费，指单位工作人员公务出国（境）的住宿费、旅费、伙食补助费、杂费、培训费等支出。（2）公务用车购置及运行费，指单位公务用车购置费及租用费、燃料费、维修费、过路过桥费、保险费、安全奖励费用等支出。公务用车指用于履行公务的机动车辆，包括领导干部专车、一般公务用车和执法执勤用车。（3）公务接待费，指单位按规定开支的各类公务接待（含外宾接待）支出。</w:t>
      </w:r>
    </w:p>
    <w:p w14:paraId="4D45C8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" w:right="0" w:rightChars="0" w:firstLine="551" w:firstLineChars="196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五、机关运行经费：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shd w:val="clear" w:color="auto" w:fill="FFFFFF"/>
          <w:lang w:bidi="ar"/>
        </w:rPr>
        <w:t>指为保障行政单位（含参照公务员法管理的事业单位）运行用于购买货物和服务的各项资金，包括办公及印刷费、邮电费、差旅费、会议费、福利费、日常维修费、专项材料及一般设备购置费、办公用房水电费、取暖费、物业管理费、公务用车运行维护费以及其他费用。</w:t>
      </w:r>
    </w:p>
    <w:p w14:paraId="0D4A2ED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/>
        <w:textAlignment w:val="auto"/>
        <w:outlineLvl w:val="9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44A97C"/>
    <w:multiLevelType w:val="singleLevel"/>
    <w:tmpl w:val="AB44A97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24"/>
    <w:rsid w:val="00213771"/>
    <w:rsid w:val="00221624"/>
    <w:rsid w:val="0072484D"/>
    <w:rsid w:val="00856CCA"/>
    <w:rsid w:val="00957914"/>
    <w:rsid w:val="00FC371E"/>
    <w:rsid w:val="03F024A7"/>
    <w:rsid w:val="06497E31"/>
    <w:rsid w:val="0ABD0F22"/>
    <w:rsid w:val="0AC765D4"/>
    <w:rsid w:val="0B232219"/>
    <w:rsid w:val="0C4F1140"/>
    <w:rsid w:val="0DEC3AD9"/>
    <w:rsid w:val="110D5494"/>
    <w:rsid w:val="11304254"/>
    <w:rsid w:val="1354238B"/>
    <w:rsid w:val="14231B23"/>
    <w:rsid w:val="149F7C23"/>
    <w:rsid w:val="1641150C"/>
    <w:rsid w:val="1668771E"/>
    <w:rsid w:val="17430401"/>
    <w:rsid w:val="1A9C015F"/>
    <w:rsid w:val="1FA90789"/>
    <w:rsid w:val="203B38D6"/>
    <w:rsid w:val="24700294"/>
    <w:rsid w:val="291148F4"/>
    <w:rsid w:val="29866DD0"/>
    <w:rsid w:val="2C455717"/>
    <w:rsid w:val="2DD13BF5"/>
    <w:rsid w:val="322F2905"/>
    <w:rsid w:val="331F7894"/>
    <w:rsid w:val="3B921743"/>
    <w:rsid w:val="4168790D"/>
    <w:rsid w:val="452468E9"/>
    <w:rsid w:val="456A2168"/>
    <w:rsid w:val="464935C1"/>
    <w:rsid w:val="46EA6DAC"/>
    <w:rsid w:val="488F6559"/>
    <w:rsid w:val="48B2538B"/>
    <w:rsid w:val="49E60F55"/>
    <w:rsid w:val="53B64A34"/>
    <w:rsid w:val="53BD60AD"/>
    <w:rsid w:val="55F52C78"/>
    <w:rsid w:val="59E13719"/>
    <w:rsid w:val="5A2B0324"/>
    <w:rsid w:val="5BF76345"/>
    <w:rsid w:val="62A83282"/>
    <w:rsid w:val="65BC4D02"/>
    <w:rsid w:val="65BF17A4"/>
    <w:rsid w:val="65C944E9"/>
    <w:rsid w:val="6E177882"/>
    <w:rsid w:val="725A1D50"/>
    <w:rsid w:val="737A3BC8"/>
    <w:rsid w:val="73E90A57"/>
    <w:rsid w:val="76A61E05"/>
    <w:rsid w:val="77B56C15"/>
    <w:rsid w:val="79C37A18"/>
    <w:rsid w:val="7D635606"/>
    <w:rsid w:val="7D6E2917"/>
    <w:rsid w:val="7F68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2012</Words>
  <Characters>2247</Characters>
  <Lines>16</Lines>
  <Paragraphs>4</Paragraphs>
  <TotalTime>0</TotalTime>
  <ScaleCrop>false</ScaleCrop>
  <LinksUpToDate>false</LinksUpToDate>
  <CharactersWithSpaces>2281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江雪</cp:lastModifiedBy>
  <dcterms:modified xsi:type="dcterms:W3CDTF">2025-02-08T02:33:44Z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eyJoZGlkIjoiYjRmZmQyNzA4YzA0NDAyMzBkMzI3N2ZlMzZkZjU4YjQiLCJ1c2VySWQiOiIzMDEwNTEwMjgifQ==</vt:lpwstr>
  </property>
  <property fmtid="{D5CDD505-2E9C-101B-9397-08002B2CF9AE}" pid="4" name="ICV">
    <vt:lpwstr>4DAAD343CBB842A9B1667000A219FE0D_12</vt:lpwstr>
  </property>
</Properties>
</file>