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32C" w:rsidRDefault="004B332C">
      <w:pPr>
        <w:wordWrap w:val="0"/>
        <w:spacing w:line="594" w:lineRule="exact"/>
        <w:jc w:val="center"/>
        <w:rPr>
          <w:rFonts w:ascii="方正小标宋简体" w:eastAsia="方正小标宋简体" w:cs="微软雅黑"/>
          <w:sz w:val="40"/>
          <w:szCs w:val="32"/>
        </w:rPr>
      </w:pPr>
      <w:r>
        <w:rPr>
          <w:rFonts w:ascii="方正小标宋简体" w:eastAsia="方正小标宋简体" w:cs="微软雅黑" w:hint="eastAsia"/>
          <w:sz w:val="40"/>
          <w:szCs w:val="32"/>
        </w:rPr>
        <w:t>消费品召回计划</w:t>
      </w:r>
    </w:p>
    <w:tbl>
      <w:tblPr>
        <w:tblpPr w:leftFromText="180" w:rightFromText="180" w:vertAnchor="text" w:horzAnchor="margin" w:tblpXSpec="center" w:tblpY="292"/>
        <w:tblW w:w="523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2758"/>
        <w:gridCol w:w="6838"/>
      </w:tblGrid>
      <w:tr w:rsidR="004B332C">
        <w:trPr>
          <w:trHeight w:val="656"/>
        </w:trPr>
        <w:tc>
          <w:tcPr>
            <w:tcW w:w="1437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332C" w:rsidRDefault="004B332C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562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332C" w:rsidRDefault="004B332C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>廉江市锐龙电器有限公司</w:t>
            </w:r>
          </w:p>
        </w:tc>
      </w:tr>
      <w:tr w:rsidR="004B332C">
        <w:trPr>
          <w:trHeight w:val="656"/>
        </w:trPr>
        <w:tc>
          <w:tcPr>
            <w:tcW w:w="1437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332C" w:rsidRDefault="004B332C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562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332C" w:rsidRDefault="004B332C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>电热水壶</w:t>
            </w:r>
          </w:p>
        </w:tc>
      </w:tr>
      <w:tr w:rsidR="004B332C">
        <w:trPr>
          <w:trHeight w:val="656"/>
        </w:trPr>
        <w:tc>
          <w:tcPr>
            <w:tcW w:w="1437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332C" w:rsidRDefault="004B332C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562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332C" w:rsidRDefault="004B332C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>先科</w:t>
            </w:r>
          </w:p>
        </w:tc>
      </w:tr>
      <w:tr w:rsidR="004B332C">
        <w:trPr>
          <w:trHeight w:val="656"/>
        </w:trPr>
        <w:tc>
          <w:tcPr>
            <w:tcW w:w="1437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332C" w:rsidRDefault="004B332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>涉及数量</w:t>
            </w:r>
          </w:p>
        </w:tc>
        <w:tc>
          <w:tcPr>
            <w:tcW w:w="3562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332C" w:rsidRDefault="004B332C">
            <w:pPr>
              <w:widowControl/>
              <w:snapToGrid w:val="0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  <w:t>1200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>台</w:t>
            </w:r>
          </w:p>
        </w:tc>
      </w:tr>
      <w:tr w:rsidR="004B332C">
        <w:trPr>
          <w:trHeight w:val="656"/>
        </w:trPr>
        <w:tc>
          <w:tcPr>
            <w:tcW w:w="1437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332C" w:rsidRDefault="004B332C">
            <w:pPr>
              <w:wordWrap w:val="0"/>
              <w:spacing w:line="594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>型号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>规格</w:t>
            </w:r>
          </w:p>
        </w:tc>
        <w:tc>
          <w:tcPr>
            <w:tcW w:w="3562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332C" w:rsidRDefault="004B332C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  <w:t xml:space="preserve">RL-A7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3"/>
                <w:attr w:name="UnitName" w:val="l"/>
              </w:smartTagPr>
              <w:r>
                <w:rPr>
                  <w:rFonts w:ascii="Times New Roman" w:eastAsia="仿宋_GB2312" w:hAnsi="Times New Roman" w:cs="Times New Roman"/>
                  <w:kern w:val="0"/>
                  <w:sz w:val="32"/>
                  <w:szCs w:val="32"/>
                  <w:shd w:val="clear" w:color="auto" w:fill="FFFFFF"/>
                </w:rPr>
                <w:t>2.3L</w:t>
              </w:r>
            </w:smartTag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  <w:t xml:space="preserve"> 220V</w:t>
            </w:r>
            <w:r>
              <w:rPr>
                <w:rFonts w:eastAsia="仿宋_GB2312" w:cs="Calibri"/>
                <w:kern w:val="0"/>
                <w:sz w:val="32"/>
                <w:szCs w:val="32"/>
                <w:shd w:val="clear" w:color="auto" w:fill="FFFFFF"/>
              </w:rPr>
              <w:t>~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  <w:t xml:space="preserve">50Hz 1500W </w:t>
            </w:r>
          </w:p>
        </w:tc>
      </w:tr>
      <w:tr w:rsidR="004B332C">
        <w:trPr>
          <w:trHeight w:val="656"/>
        </w:trPr>
        <w:tc>
          <w:tcPr>
            <w:tcW w:w="1437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332C" w:rsidRDefault="004B332C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562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332C" w:rsidRDefault="004B332C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22"/>
              </w:smartTagPr>
              <w:r>
                <w:rPr>
                  <w:rFonts w:ascii="Times New Roman" w:eastAsia="仿宋_GB2312" w:hAnsi="Times New Roman" w:cs="Times New Roman"/>
                  <w:kern w:val="0"/>
                  <w:sz w:val="32"/>
                  <w:szCs w:val="32"/>
                  <w:shd w:val="clear" w:color="auto" w:fill="FFFFFF"/>
                </w:rPr>
                <w:t>2022</w:t>
              </w:r>
              <w:r>
                <w:rPr>
                  <w:rFonts w:ascii="Times New Roman" w:eastAsia="仿宋_GB2312" w:hAnsi="Times New Roman" w:cs="Times New Roman" w:hint="eastAsia"/>
                  <w:kern w:val="0"/>
                  <w:sz w:val="32"/>
                  <w:szCs w:val="32"/>
                  <w:shd w:val="clear" w:color="auto" w:fill="FFFFFF"/>
                </w:rPr>
                <w:t>年</w:t>
              </w:r>
              <w:r>
                <w:rPr>
                  <w:rFonts w:ascii="Times New Roman" w:eastAsia="仿宋_GB2312" w:hAnsi="Times New Roman" w:cs="Times New Roman"/>
                  <w:kern w:val="0"/>
                  <w:sz w:val="32"/>
                  <w:szCs w:val="32"/>
                  <w:shd w:val="clear" w:color="auto" w:fill="FFFFFF"/>
                </w:rPr>
                <w:t>1</w:t>
              </w:r>
              <w:r>
                <w:rPr>
                  <w:rFonts w:ascii="Times New Roman" w:eastAsia="仿宋_GB2312" w:hAnsi="Times New Roman" w:cs="Times New Roman" w:hint="eastAsia"/>
                  <w:kern w:val="0"/>
                  <w:sz w:val="32"/>
                  <w:szCs w:val="32"/>
                  <w:shd w:val="clear" w:color="auto" w:fill="FFFFFF"/>
                </w:rPr>
                <w:t>月</w:t>
              </w:r>
              <w:r>
                <w:rPr>
                  <w:rFonts w:ascii="Times New Roman" w:eastAsia="仿宋_GB2312" w:hAnsi="Times New Roman" w:cs="Times New Roman"/>
                  <w:kern w:val="0"/>
                  <w:sz w:val="32"/>
                  <w:szCs w:val="32"/>
                  <w:shd w:val="clear" w:color="auto" w:fill="FFFFFF"/>
                </w:rPr>
                <w:t>8</w:t>
              </w:r>
              <w:r>
                <w:rPr>
                  <w:rFonts w:ascii="Times New Roman" w:eastAsia="仿宋_GB2312" w:hAnsi="Times New Roman" w:cs="Times New Roman" w:hint="eastAsia"/>
                  <w:kern w:val="0"/>
                  <w:sz w:val="32"/>
                  <w:szCs w:val="32"/>
                  <w:shd w:val="clear" w:color="auto" w:fill="FFFFFF"/>
                </w:rPr>
                <w:t>日</w:t>
              </w:r>
            </w:smartTag>
          </w:p>
        </w:tc>
      </w:tr>
      <w:tr w:rsidR="004B332C">
        <w:trPr>
          <w:trHeight w:val="656"/>
        </w:trPr>
        <w:tc>
          <w:tcPr>
            <w:tcW w:w="1437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332C" w:rsidRDefault="004B332C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生产批号</w:t>
            </w:r>
            <w:r>
              <w:rPr>
                <w:rFonts w:ascii="Times New Roman" w:eastAsia="仿宋_GB2312" w:hAnsi="Times New Roman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批次</w:t>
            </w:r>
          </w:p>
        </w:tc>
        <w:tc>
          <w:tcPr>
            <w:tcW w:w="3562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332C" w:rsidRDefault="004B332C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  <w:t>20220108</w:t>
            </w:r>
          </w:p>
        </w:tc>
      </w:tr>
      <w:tr w:rsidR="004B332C">
        <w:trPr>
          <w:trHeight w:val="3922"/>
        </w:trPr>
        <w:tc>
          <w:tcPr>
            <w:tcW w:w="1437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332C" w:rsidRDefault="004B332C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562" w:type="pct"/>
            <w:shd w:val="clear" w:color="auto" w:fill="FFFFFF"/>
            <w:tcMar>
              <w:left w:w="108" w:type="dxa"/>
              <w:right w:w="108" w:type="dxa"/>
            </w:tcMar>
          </w:tcPr>
          <w:p w:rsidR="004B332C" w:rsidRDefault="004B332C">
            <w:pPr>
              <w:pStyle w:val="NormalWeb"/>
              <w:widowControl/>
              <w:shd w:val="clear" w:color="auto" w:fill="FFFFFF"/>
              <w:spacing w:beforeAutospacing="0" w:afterAutospacing="0"/>
              <w:jc w:val="both"/>
              <w:rPr>
                <w:rFonts w:ascii="Times New Roman" w:eastAsia="仿宋_GB2312" w:hAnsi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shd w:val="clear" w:color="auto" w:fill="FFFFFF"/>
              </w:rPr>
              <w:t>容量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3"/>
                <w:attr w:name="UnitName" w:val="l"/>
              </w:smartTagPr>
              <w:r>
                <w:rPr>
                  <w:rFonts w:ascii="Times New Roman" w:eastAsia="仿宋_GB2312" w:hAnsi="Times New Roman"/>
                  <w:sz w:val="32"/>
                  <w:szCs w:val="32"/>
                  <w:shd w:val="clear" w:color="auto" w:fill="FFFFFF"/>
                </w:rPr>
                <w:t>2.3L</w:t>
              </w:r>
            </w:smartTag>
            <w:r>
              <w:rPr>
                <w:rFonts w:ascii="Times New Roman" w:eastAsia="仿宋_GB2312" w:hAnsi="Times New Roman" w:hint="eastAsia"/>
                <w:sz w:val="32"/>
                <w:szCs w:val="32"/>
                <w:shd w:val="clear" w:color="auto" w:fill="FFFFFF"/>
              </w:rPr>
              <w:t>，电压</w:t>
            </w:r>
            <w:r>
              <w:rPr>
                <w:rFonts w:ascii="Times New Roman" w:eastAsia="仿宋_GB2312" w:hAnsi="Times New Roman"/>
                <w:sz w:val="32"/>
                <w:szCs w:val="32"/>
                <w:shd w:val="clear" w:color="auto" w:fill="FFFFFF"/>
              </w:rPr>
              <w:t>220V</w:t>
            </w:r>
            <w:r>
              <w:rPr>
                <w:rFonts w:eastAsia="仿宋_GB2312" w:cs="Calibri"/>
                <w:sz w:val="32"/>
                <w:szCs w:val="32"/>
                <w:shd w:val="clear" w:color="auto" w:fill="FFFFFF"/>
              </w:rPr>
              <w:t>~</w:t>
            </w:r>
            <w:r>
              <w:rPr>
                <w:rFonts w:ascii="Times New Roman" w:eastAsia="仿宋_GB2312" w:hAnsi="Times New Roman"/>
                <w:sz w:val="32"/>
                <w:szCs w:val="32"/>
                <w:shd w:val="clear" w:color="auto" w:fill="FFFFFF"/>
              </w:rPr>
              <w:t xml:space="preserve"> 50Hz 1500W</w:t>
            </w:r>
            <w:r>
              <w:rPr>
                <w:rFonts w:ascii="Times New Roman" w:eastAsia="仿宋_GB2312" w:hAnsi="Times New Roman" w:hint="eastAsia"/>
                <w:sz w:val="32"/>
                <w:szCs w:val="32"/>
                <w:shd w:val="clear" w:color="auto" w:fill="FFFFFF"/>
              </w:rPr>
              <w:t>。</w:t>
            </w:r>
          </w:p>
          <w:p w:rsidR="004B332C" w:rsidRDefault="004B332C">
            <w:pPr>
              <w:pStyle w:val="NormalWeb"/>
              <w:widowControl/>
              <w:shd w:val="clear" w:color="auto" w:fill="FFFFFF"/>
              <w:snapToGrid w:val="0"/>
              <w:spacing w:beforeAutospacing="0" w:afterAutospacing="0"/>
              <w:jc w:val="both"/>
              <w:rPr>
                <w:rFonts w:ascii="Times New Roman" w:eastAsia="仿宋_GB2312" w:hAnsi="Times New Roman"/>
                <w:color w:val="FF0000"/>
                <w:sz w:val="32"/>
                <w:szCs w:val="32"/>
                <w:shd w:val="clear" w:color="auto" w:fill="FFFFFF"/>
              </w:rPr>
            </w:pPr>
            <w:r w:rsidRPr="00E16BD1">
              <w:rPr>
                <w:rFonts w:ascii="Times New Roman" w:eastAsia="仿宋_GB2312" w:hAnsi="Times New Roman"/>
                <w:noProof/>
                <w:color w:val="FF0000"/>
                <w:sz w:val="32"/>
                <w:szCs w:val="32"/>
                <w:shd w:val="clear" w:color="auto" w:fill="FFFFFF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5" type="#_x0000_t75" alt="5e788374d7ff884cdef2a23c9a93ba9" style="width:147.75pt;height:147.75pt;visibility:visible">
                  <v:imagedata r:id="rId4" o:title=""/>
                </v:shape>
              </w:pict>
            </w:r>
          </w:p>
        </w:tc>
      </w:tr>
      <w:tr w:rsidR="004B332C">
        <w:trPr>
          <w:trHeight w:val="827"/>
        </w:trPr>
        <w:tc>
          <w:tcPr>
            <w:tcW w:w="1437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332C" w:rsidRDefault="004B332C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562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332C" w:rsidRDefault="004B332C">
            <w:pPr>
              <w:spacing w:line="360" w:lineRule="auto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>产品机械强度、电源连接和外部软线项目不符合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  <w:t>GB 4706.1-2005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>、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  <w:t>GB 4706.19-2008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>标准要求。</w:t>
            </w:r>
          </w:p>
        </w:tc>
      </w:tr>
      <w:tr w:rsidR="004B332C">
        <w:trPr>
          <w:trHeight w:val="138"/>
        </w:trPr>
        <w:tc>
          <w:tcPr>
            <w:tcW w:w="1437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332C" w:rsidRDefault="004B332C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562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332C" w:rsidRDefault="004B332C">
            <w:pPr>
              <w:widowControl/>
              <w:spacing w:line="594" w:lineRule="exact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>可能引起触电危险。</w:t>
            </w:r>
          </w:p>
        </w:tc>
      </w:tr>
      <w:tr w:rsidR="004B332C">
        <w:trPr>
          <w:trHeight w:val="48"/>
        </w:trPr>
        <w:tc>
          <w:tcPr>
            <w:tcW w:w="1437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332C" w:rsidRDefault="004B332C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562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332C" w:rsidRDefault="004B332C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>消费者立即暂停使用有缺陷的产品，联系公司或者经销商进行处理。</w:t>
            </w:r>
          </w:p>
        </w:tc>
      </w:tr>
      <w:tr w:rsidR="004B332C">
        <w:trPr>
          <w:trHeight w:val="48"/>
        </w:trPr>
        <w:tc>
          <w:tcPr>
            <w:tcW w:w="1437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332C" w:rsidRDefault="004B332C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562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332C" w:rsidRDefault="004B332C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通知销售商立即停止销售缺陷产品，并在公司及销售商实体店铺张贴召回公告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0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告知消费者具体召回事宜，为购买到缺陷产品的消费者进行免费维修或退货处理。</w:t>
            </w:r>
          </w:p>
        </w:tc>
      </w:tr>
      <w:tr w:rsidR="004B332C">
        <w:trPr>
          <w:trHeight w:val="48"/>
        </w:trPr>
        <w:tc>
          <w:tcPr>
            <w:tcW w:w="1437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332C" w:rsidRDefault="004B332C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562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332C" w:rsidRDefault="004B332C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廉江市锐龙电器有限公司</w:t>
            </w:r>
          </w:p>
        </w:tc>
      </w:tr>
      <w:tr w:rsidR="004B332C">
        <w:trPr>
          <w:trHeight w:val="48"/>
        </w:trPr>
        <w:tc>
          <w:tcPr>
            <w:tcW w:w="1437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332C" w:rsidRDefault="004B332C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562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332C" w:rsidRDefault="004B332C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召回联系人及服务热线：黎先生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0759-6689698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。</w:t>
            </w:r>
          </w:p>
        </w:tc>
      </w:tr>
      <w:tr w:rsidR="004B332C">
        <w:trPr>
          <w:trHeight w:val="48"/>
        </w:trPr>
        <w:tc>
          <w:tcPr>
            <w:tcW w:w="1437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332C" w:rsidRDefault="004B332C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562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332C" w:rsidRDefault="004B332C">
            <w:pPr>
              <w:widowControl/>
              <w:spacing w:line="594" w:lineRule="exac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集中召回时间计划在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6"/>
                <w:attr w:name="Year" w:val="2024"/>
              </w:smartTagPr>
              <w:r>
                <w:rPr>
                  <w:rFonts w:ascii="Times New Roman" w:eastAsia="仿宋_GB2312" w:hAnsi="Times New Roman" w:cs="Times New Roman"/>
                  <w:kern w:val="0"/>
                  <w:sz w:val="32"/>
                  <w:szCs w:val="32"/>
                </w:rPr>
                <w:t>2024</w:t>
              </w:r>
              <w:r>
                <w:rPr>
                  <w:rFonts w:ascii="Times New Roman" w:eastAsia="仿宋_GB2312" w:hAnsi="Times New Roman" w:cs="Times New Roman" w:hint="eastAsia"/>
                  <w:kern w:val="0"/>
                  <w:sz w:val="32"/>
                  <w:szCs w:val="32"/>
                </w:rPr>
                <w:t>年</w:t>
              </w:r>
              <w:r>
                <w:rPr>
                  <w:rFonts w:ascii="Times New Roman" w:eastAsia="仿宋_GB2312" w:hAnsi="Times New Roman" w:cs="Times New Roman"/>
                  <w:kern w:val="0"/>
                  <w:sz w:val="32"/>
                  <w:szCs w:val="32"/>
                </w:rPr>
                <w:t>6</w:t>
              </w:r>
              <w:r>
                <w:rPr>
                  <w:rFonts w:ascii="Times New Roman" w:eastAsia="仿宋_GB2312" w:hAnsi="Times New Roman" w:cs="Times New Roman" w:hint="eastAsia"/>
                  <w:kern w:val="0"/>
                  <w:sz w:val="32"/>
                  <w:szCs w:val="32"/>
                </w:rPr>
                <w:t>月</w:t>
              </w:r>
              <w:r>
                <w:rPr>
                  <w:rFonts w:ascii="Times New Roman" w:eastAsia="仿宋_GB2312" w:hAnsi="Times New Roman" w:cs="Times New Roman"/>
                  <w:kern w:val="0"/>
                  <w:sz w:val="32"/>
                  <w:szCs w:val="32"/>
                </w:rPr>
                <w:t>10</w:t>
              </w:r>
              <w:r>
                <w:rPr>
                  <w:rFonts w:ascii="Times New Roman" w:eastAsia="仿宋_GB2312" w:hAnsi="Times New Roman" w:cs="Times New Roman" w:hint="eastAsia"/>
                  <w:kern w:val="0"/>
                  <w:sz w:val="32"/>
                  <w:szCs w:val="32"/>
                </w:rPr>
                <w:t>日</w:t>
              </w:r>
            </w:smartTag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7"/>
                <w:attr w:name="Year" w:val="2024"/>
              </w:smartTagPr>
              <w:r>
                <w:rPr>
                  <w:rFonts w:ascii="Times New Roman" w:eastAsia="仿宋_GB2312" w:hAnsi="Times New Roman" w:cs="Times New Roman"/>
                  <w:kern w:val="0"/>
                  <w:sz w:val="32"/>
                  <w:szCs w:val="32"/>
                </w:rPr>
                <w:t>2024</w:t>
              </w:r>
              <w:r>
                <w:rPr>
                  <w:rFonts w:ascii="Times New Roman" w:eastAsia="仿宋_GB2312" w:hAnsi="Times New Roman" w:cs="Times New Roman" w:hint="eastAsia"/>
                  <w:kern w:val="0"/>
                  <w:sz w:val="32"/>
                  <w:szCs w:val="32"/>
                </w:rPr>
                <w:t>年</w:t>
              </w:r>
              <w:r>
                <w:rPr>
                  <w:rFonts w:ascii="Times New Roman" w:eastAsia="仿宋_GB2312" w:hAnsi="Times New Roman" w:cs="Times New Roman"/>
                  <w:kern w:val="0"/>
                  <w:sz w:val="32"/>
                  <w:szCs w:val="32"/>
                </w:rPr>
                <w:t>7</w:t>
              </w:r>
              <w:r>
                <w:rPr>
                  <w:rFonts w:ascii="Times New Roman" w:eastAsia="仿宋_GB2312" w:hAnsi="Times New Roman" w:cs="Times New Roman" w:hint="eastAsia"/>
                  <w:kern w:val="0"/>
                  <w:sz w:val="32"/>
                  <w:szCs w:val="32"/>
                </w:rPr>
                <w:t>月</w:t>
              </w:r>
              <w:r>
                <w:rPr>
                  <w:rFonts w:ascii="Times New Roman" w:eastAsia="仿宋_GB2312" w:hAnsi="Times New Roman" w:cs="Times New Roman"/>
                  <w:kern w:val="0"/>
                  <w:sz w:val="32"/>
                  <w:szCs w:val="32"/>
                </w:rPr>
                <w:t>10</w:t>
              </w:r>
              <w:r>
                <w:rPr>
                  <w:rFonts w:ascii="Times New Roman" w:eastAsia="仿宋_GB2312" w:hAnsi="Times New Roman" w:cs="Times New Roman" w:hint="eastAsia"/>
                  <w:kern w:val="0"/>
                  <w:sz w:val="32"/>
                  <w:szCs w:val="32"/>
                </w:rPr>
                <w:t>日</w:t>
              </w:r>
            </w:smartTag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（具体以实际进度安排为准）。</w:t>
            </w:r>
          </w:p>
        </w:tc>
      </w:tr>
      <w:tr w:rsidR="004B332C">
        <w:trPr>
          <w:trHeight w:val="48"/>
        </w:trPr>
        <w:tc>
          <w:tcPr>
            <w:tcW w:w="1437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332C" w:rsidRDefault="004B332C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562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332C" w:rsidRDefault="004B332C">
            <w:pPr>
              <w:widowControl/>
              <w:spacing w:line="594" w:lineRule="exact"/>
              <w:rPr>
                <w:rFonts w:ascii="Times New Roman" w:eastAsia="仿宋_GB2312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shd w:val="clear" w:color="auto" w:fill="FFFFFF"/>
              </w:rPr>
              <w:t>无</w:t>
            </w:r>
          </w:p>
        </w:tc>
      </w:tr>
      <w:tr w:rsidR="004B332C">
        <w:trPr>
          <w:trHeight w:val="694"/>
        </w:trPr>
        <w:tc>
          <w:tcPr>
            <w:tcW w:w="1437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332C" w:rsidRDefault="004B332C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562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332C" w:rsidRDefault="004B332C">
            <w:pPr>
              <w:widowControl/>
              <w:spacing w:line="594" w:lineRule="exac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shd w:val="clear" w:color="auto" w:fill="FFFFFF"/>
              </w:rPr>
              <w:t>相关用户也可以登录廉江市市场监督管理局网站</w:t>
            </w:r>
            <w:r w:rsidRPr="008A070E">
              <w:rPr>
                <w:rFonts w:ascii="Times New Roman" w:eastAsia="仿宋_GB2312" w:hAnsi="Times New Roman" w:cs="Times New Roman"/>
                <w:sz w:val="32"/>
                <w:szCs w:val="32"/>
                <w:shd w:val="clear" w:color="auto" w:fill="FFFFFF"/>
              </w:rPr>
              <w:t>“</w:t>
            </w:r>
            <w:r w:rsidRPr="008A070E">
              <w:rPr>
                <w:rFonts w:ascii="Times New Roman" w:eastAsia="仿宋_GB2312" w:hAnsi="Times New Roman" w:cs="Times New Roman" w:hint="eastAsia"/>
                <w:sz w:val="32"/>
                <w:szCs w:val="32"/>
                <w:shd w:val="clear" w:color="auto" w:fill="FFFFFF"/>
              </w:rPr>
              <w:t>政务动态</w:t>
            </w:r>
            <w:r w:rsidRPr="008A070E">
              <w:rPr>
                <w:rFonts w:ascii="Times New Roman" w:eastAsia="仿宋_GB2312" w:hAnsi="Times New Roman" w:cs="Times New Roman"/>
                <w:sz w:val="32"/>
                <w:szCs w:val="32"/>
                <w:shd w:val="clear" w:color="auto" w:fill="FFFFFF"/>
              </w:rPr>
              <w:t>”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shd w:val="clear" w:color="auto" w:fill="FFFFFF"/>
              </w:rPr>
              <w:t>栏目，或拨打廉江市市场监督管理局缺陷产品召回热线电话</w:t>
            </w:r>
            <w:r w:rsidRPr="008A070E">
              <w:rPr>
                <w:rFonts w:ascii="Times New Roman" w:eastAsia="仿宋_GB2312" w:hAnsi="Times New Roman" w:cs="Times New Roman" w:hint="eastAsia"/>
                <w:sz w:val="32"/>
                <w:szCs w:val="32"/>
                <w:shd w:val="clear" w:color="auto" w:fill="FFFFFF"/>
              </w:rPr>
              <w:t>（</w:t>
            </w:r>
            <w:r w:rsidRPr="008A070E">
              <w:rPr>
                <w:rFonts w:ascii="Times New Roman" w:eastAsia="仿宋_GB2312" w:hAnsi="Times New Roman" w:cs="Times New Roman"/>
                <w:sz w:val="32"/>
                <w:szCs w:val="32"/>
                <w:shd w:val="clear" w:color="auto" w:fill="FFFFFF"/>
              </w:rPr>
              <w:t>0759-6673181</w:t>
            </w:r>
            <w:r w:rsidRPr="008A070E">
              <w:rPr>
                <w:rFonts w:ascii="Times New Roman" w:eastAsia="仿宋_GB2312" w:hAnsi="Times New Roman" w:cs="Times New Roman" w:hint="eastAsia"/>
                <w:sz w:val="32"/>
                <w:szCs w:val="32"/>
                <w:shd w:val="clear" w:color="auto" w:fill="FFFFFF"/>
              </w:rPr>
              <w:t>）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shd w:val="clear" w:color="auto" w:fill="FFFFFF"/>
              </w:rPr>
              <w:t>了解更多信息。</w:t>
            </w:r>
          </w:p>
        </w:tc>
      </w:tr>
    </w:tbl>
    <w:p w:rsidR="004B332C" w:rsidRDefault="004B332C">
      <w:pPr>
        <w:widowControl/>
        <w:jc w:val="left"/>
        <w:rPr>
          <w:rFonts w:ascii="仿宋_GB2312" w:eastAsia="仿宋_GB2312"/>
          <w:sz w:val="32"/>
        </w:rPr>
      </w:pPr>
      <w:bookmarkStart w:id="0" w:name="_GoBack"/>
      <w:bookmarkEnd w:id="0"/>
    </w:p>
    <w:sectPr w:rsidR="004B332C" w:rsidSect="00680082">
      <w:pgSz w:w="11906" w:h="16838"/>
      <w:pgMar w:top="1985" w:right="1474" w:bottom="1644" w:left="147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lhMzE5MTVhNTU0NDE1YjAyMzZlN2YyOTk4OTg5YzYifQ=="/>
  </w:docVars>
  <w:rsids>
    <w:rsidRoot w:val="00680082"/>
    <w:rsid w:val="00070C4C"/>
    <w:rsid w:val="00077EBA"/>
    <w:rsid w:val="001A10BF"/>
    <w:rsid w:val="004B332C"/>
    <w:rsid w:val="004E4FC4"/>
    <w:rsid w:val="005C166B"/>
    <w:rsid w:val="005C63C5"/>
    <w:rsid w:val="00680082"/>
    <w:rsid w:val="007862A1"/>
    <w:rsid w:val="0080616B"/>
    <w:rsid w:val="008A070E"/>
    <w:rsid w:val="00925CB0"/>
    <w:rsid w:val="009A6C76"/>
    <w:rsid w:val="00A633EF"/>
    <w:rsid w:val="00AC5731"/>
    <w:rsid w:val="00B955DF"/>
    <w:rsid w:val="00DF565B"/>
    <w:rsid w:val="00DF6A83"/>
    <w:rsid w:val="00E16BD1"/>
    <w:rsid w:val="00E524FF"/>
    <w:rsid w:val="0AC71FC2"/>
    <w:rsid w:val="17386A2E"/>
    <w:rsid w:val="21217C18"/>
    <w:rsid w:val="23750B89"/>
    <w:rsid w:val="26F055C8"/>
    <w:rsid w:val="2D5A73F9"/>
    <w:rsid w:val="44D11DA4"/>
    <w:rsid w:val="51A1346E"/>
    <w:rsid w:val="5E437846"/>
    <w:rsid w:val="643B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082"/>
    <w:pPr>
      <w:widowControl w:val="0"/>
      <w:jc w:val="both"/>
    </w:pPr>
    <w:rPr>
      <w:rFonts w:ascii="Calibri" w:hAnsi="Calibri" w:cs="Arial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0082"/>
    <w:pPr>
      <w:keepNext/>
      <w:keepLines/>
      <w:spacing w:line="578" w:lineRule="auto"/>
      <w:jc w:val="left"/>
      <w:outlineLvl w:val="0"/>
    </w:pPr>
    <w:rPr>
      <w:rFonts w:cs="Times New Roman"/>
      <w:b/>
      <w:bCs/>
      <w:kern w:val="44"/>
      <w:sz w:val="28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0082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80082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0616B"/>
    <w:rPr>
      <w:rFonts w:ascii="Calibri" w:hAnsi="Calibri" w:cs="Arial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0616B"/>
    <w:rPr>
      <w:rFonts w:ascii="Cambria" w:eastAsia="宋体" w:hAnsi="Cambria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0616B"/>
    <w:rPr>
      <w:rFonts w:ascii="Calibri" w:hAnsi="Calibri" w:cs="Arial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680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616B"/>
    <w:rPr>
      <w:rFonts w:ascii="Calibri" w:hAnsi="Calibri" w:cs="Arial"/>
      <w:sz w:val="18"/>
      <w:szCs w:val="18"/>
    </w:rPr>
  </w:style>
  <w:style w:type="paragraph" w:styleId="Header">
    <w:name w:val="header"/>
    <w:basedOn w:val="Normal"/>
    <w:link w:val="HeaderChar"/>
    <w:uiPriority w:val="99"/>
    <w:rsid w:val="00680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616B"/>
    <w:rPr>
      <w:rFonts w:ascii="Calibri" w:hAnsi="Calibri" w:cs="Arial"/>
      <w:sz w:val="18"/>
      <w:szCs w:val="18"/>
    </w:rPr>
  </w:style>
  <w:style w:type="paragraph" w:styleId="NormalWeb">
    <w:name w:val="Normal (Web)"/>
    <w:basedOn w:val="Normal"/>
    <w:uiPriority w:val="99"/>
    <w:rsid w:val="00680082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155</TotalTime>
  <Pages>2</Pages>
  <Words>86</Words>
  <Characters>496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张豪哲</dc:creator>
  <cp:keywords/>
  <dc:description/>
  <cp:lastModifiedBy>walkinnet</cp:lastModifiedBy>
  <cp:revision>6</cp:revision>
  <dcterms:created xsi:type="dcterms:W3CDTF">2022-09-13T14:53:00Z</dcterms:created>
  <dcterms:modified xsi:type="dcterms:W3CDTF">2024-06-27T08:01:00Z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A7A273A37E3340FAA28A7F902C366E58</vt:lpwstr>
  </property>
</Properties>
</file>