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outlineLvl w:val="9"/>
      </w:pPr>
    </w:p>
    <w:p>
      <w:pPr>
        <w:pStyle w:val="2"/>
        <w:spacing w:line="560" w:lineRule="exact"/>
        <w:ind w:left="-420" w:leftChars="-200" w:firstLine="420" w:firstLineChars="95"/>
        <w:jc w:val="center"/>
        <w:rPr>
          <w:rFonts w:hint="default" w:eastAsia="宋体"/>
          <w:lang w:val="en-US" w:eastAsia="zh-CN"/>
        </w:rPr>
      </w:pPr>
      <w:r>
        <w:rPr>
          <w:rFonts w:ascii="宋体" w:hAnsi="宋体" w:eastAsia="宋体"/>
          <w:szCs w:val="21"/>
        </w:rPr>
        <w:t>环北部湾广东水资源配置工程</w:t>
      </w:r>
      <w:r>
        <w:rPr>
          <w:rFonts w:hint="eastAsia" w:ascii="宋体" w:hAnsi="宋体" w:eastAsia="宋体"/>
          <w:szCs w:val="21"/>
          <w:lang w:val="en-US" w:eastAsia="zh-CN"/>
        </w:rPr>
        <w:t>施工D1标</w:t>
      </w:r>
    </w:p>
    <w:p>
      <w:pPr>
        <w:pStyle w:val="2"/>
        <w:spacing w:line="560" w:lineRule="exact"/>
        <w:jc w:val="center"/>
      </w:pPr>
      <w:r>
        <w:rPr>
          <w:rFonts w:hint="eastAsia"/>
        </w:rPr>
        <w:t>树木迁移</w:t>
      </w:r>
      <w:r>
        <w:t>施工</w:t>
      </w:r>
      <w:r>
        <w:rPr>
          <w:rFonts w:hint="eastAsia"/>
        </w:rPr>
        <w:t>方案</w:t>
      </w:r>
    </w:p>
    <w:p/>
    <w:p/>
    <w:p/>
    <w:p/>
    <w:p/>
    <w:p/>
    <w:p/>
    <w:p/>
    <w:p/>
    <w:p/>
    <w:p/>
    <w:p/>
    <w:p/>
    <w:p/>
    <w:p/>
    <w:p/>
    <w:p/>
    <w:p/>
    <w:p/>
    <w:p/>
    <w:p/>
    <w:p/>
    <w:p/>
    <w:p/>
    <w:p/>
    <w:p>
      <w:pPr>
        <w:jc w:val="center"/>
      </w:pPr>
    </w:p>
    <w:p>
      <w:pPr>
        <w:jc w:val="center"/>
      </w:pPr>
    </w:p>
    <w:p>
      <w:pPr>
        <w:pStyle w:val="3"/>
        <w:outlineLvl w:val="9"/>
      </w:pPr>
    </w:p>
    <w:p>
      <w:pPr>
        <w:pStyle w:val="3"/>
        <w:jc w:val="center"/>
        <w:outlineLvl w:val="0"/>
      </w:pPr>
      <w:r>
        <w:rPr>
          <w:rFonts w:hint="eastAsia"/>
        </w:rPr>
        <w:t>编制单位：环北部湾广东水资源配置工程</w:t>
      </w:r>
      <w:r>
        <w:rPr>
          <w:rFonts w:hint="eastAsia"/>
          <w:lang w:val="en-US" w:eastAsia="zh-CN"/>
        </w:rPr>
        <w:t>施工</w:t>
      </w:r>
      <w:r>
        <w:rPr>
          <w:rFonts w:hint="eastAsia"/>
        </w:rPr>
        <w:t>D1标</w:t>
      </w:r>
    </w:p>
    <w:p>
      <w:pPr>
        <w:pStyle w:val="3"/>
        <w:jc w:val="center"/>
        <w:outlineLvl w:val="0"/>
      </w:pPr>
      <w:r>
        <w:rPr>
          <w:rFonts w:hint="eastAsia"/>
        </w:rPr>
        <w:t>2023年10月</w:t>
      </w:r>
    </w:p>
    <w:p/>
    <w:p>
      <w:pPr>
        <w:pStyle w:val="2"/>
        <w:outlineLvl w:val="9"/>
        <w:sectPr>
          <w:footerReference r:id="rId3" w:type="default"/>
          <w:pgSz w:w="11906" w:h="16838"/>
          <w:pgMar w:top="620" w:right="1286" w:bottom="678" w:left="1600" w:header="851" w:footer="992" w:gutter="0"/>
          <w:pgNumType w:fmt="numberInDash"/>
          <w:cols w:space="425" w:num="1"/>
          <w:docGrid w:type="lines" w:linePitch="312" w:charSpace="0"/>
        </w:sect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ind w:firstLine="3975" w:firstLineChars="900"/>
        <w:jc w:val="both"/>
      </w:pPr>
      <w:r>
        <w:rPr>
          <w:rFonts w:hint="eastAsia"/>
        </w:rPr>
        <w:t>目录</w:t>
      </w:r>
    </w:p>
    <w:p>
      <w:pPr>
        <w:widowControl/>
        <w:spacing w:line="600" w:lineRule="auto"/>
        <w:jc w:val="center"/>
        <w:outlineLvl w:val="0"/>
      </w:pPr>
      <w:r>
        <w:rPr>
          <w:rFonts w:ascii="新宋体" w:hAnsi="新宋体" w:eastAsia="新宋体" w:cs="新宋体"/>
          <w:color w:val="000000"/>
          <w:kern w:val="0"/>
          <w:sz w:val="28"/>
          <w:szCs w:val="28"/>
          <w:lang w:bidi="ar"/>
        </w:rPr>
        <w:t>第一章 工程概况……………………………………………………</w:t>
      </w:r>
      <w:r>
        <w:rPr>
          <w:rFonts w:hint="eastAsia" w:ascii="新宋体" w:hAnsi="新宋体" w:eastAsia="新宋体" w:cs="新宋体"/>
          <w:color w:val="000000"/>
          <w:kern w:val="0"/>
          <w:sz w:val="28"/>
          <w:szCs w:val="28"/>
          <w:lang w:bidi="ar"/>
        </w:rPr>
        <w:t>1</w:t>
      </w:r>
    </w:p>
    <w:p>
      <w:pPr>
        <w:widowControl/>
        <w:spacing w:line="600" w:lineRule="auto"/>
        <w:jc w:val="center"/>
      </w:pPr>
      <w:r>
        <w:rPr>
          <w:rFonts w:hint="eastAsia" w:ascii="新宋体" w:hAnsi="新宋体" w:eastAsia="新宋体" w:cs="新宋体"/>
          <w:color w:val="000000"/>
          <w:kern w:val="0"/>
          <w:sz w:val="28"/>
          <w:szCs w:val="28"/>
          <w:lang w:bidi="ar"/>
        </w:rPr>
        <w:t>第二章 编制依据……………………………………………………1</w:t>
      </w:r>
    </w:p>
    <w:p>
      <w:pPr>
        <w:widowControl/>
        <w:spacing w:line="600" w:lineRule="auto"/>
        <w:jc w:val="center"/>
        <w:rPr>
          <w:rFonts w:hint="eastAsia" w:ascii="新宋体" w:hAnsi="新宋体" w:eastAsia="新宋体" w:cs="新宋体"/>
          <w:color w:val="000000"/>
          <w:kern w:val="0"/>
          <w:sz w:val="28"/>
          <w:szCs w:val="28"/>
          <w:lang w:eastAsia="zh-CN" w:bidi="ar"/>
        </w:rPr>
      </w:pPr>
      <w:r>
        <w:rPr>
          <w:rFonts w:hint="eastAsia" w:ascii="新宋体" w:hAnsi="新宋体" w:eastAsia="新宋体" w:cs="新宋体"/>
          <w:color w:val="000000"/>
          <w:kern w:val="0"/>
          <w:sz w:val="28"/>
          <w:szCs w:val="28"/>
          <w:lang w:bidi="ar"/>
        </w:rPr>
        <w:t>第三章 迁移、砍伐的必要性………………………………………</w:t>
      </w:r>
      <w:r>
        <w:rPr>
          <w:rFonts w:hint="eastAsia" w:ascii="新宋体" w:hAnsi="新宋体" w:eastAsia="新宋体" w:cs="新宋体"/>
          <w:color w:val="000000"/>
          <w:kern w:val="0"/>
          <w:sz w:val="28"/>
          <w:szCs w:val="28"/>
          <w:lang w:val="en-US" w:eastAsia="zh-CN" w:bidi="ar"/>
        </w:rPr>
        <w:t>3</w:t>
      </w:r>
    </w:p>
    <w:p>
      <w:pPr>
        <w:widowControl/>
        <w:spacing w:line="600" w:lineRule="auto"/>
        <w:jc w:val="center"/>
        <w:rPr>
          <w:rFonts w:hint="eastAsia" w:eastAsia="新宋体"/>
          <w:lang w:eastAsia="zh-CN"/>
        </w:rPr>
      </w:pPr>
      <w:r>
        <w:rPr>
          <w:rFonts w:hint="eastAsia" w:ascii="新宋体" w:hAnsi="新宋体" w:eastAsia="新宋体" w:cs="新宋体"/>
          <w:color w:val="000000"/>
          <w:kern w:val="0"/>
          <w:sz w:val="28"/>
          <w:szCs w:val="28"/>
          <w:lang w:bidi="ar"/>
        </w:rPr>
        <w:t>第四章 树木迁移施工方案…………………………………………</w:t>
      </w:r>
      <w:r>
        <w:rPr>
          <w:rFonts w:hint="eastAsia" w:ascii="新宋体" w:hAnsi="新宋体" w:eastAsia="新宋体" w:cs="新宋体"/>
          <w:color w:val="000000"/>
          <w:kern w:val="0"/>
          <w:sz w:val="28"/>
          <w:szCs w:val="28"/>
          <w:lang w:val="en-US" w:eastAsia="zh-CN" w:bidi="ar"/>
        </w:rPr>
        <w:t>3</w:t>
      </w:r>
    </w:p>
    <w:p>
      <w:pPr>
        <w:widowControl/>
        <w:spacing w:line="600" w:lineRule="auto"/>
        <w:jc w:val="center"/>
        <w:rPr>
          <w:rFonts w:hint="eastAsia" w:ascii="新宋体" w:hAnsi="新宋体" w:eastAsia="新宋体" w:cs="新宋体"/>
          <w:color w:val="000000"/>
          <w:kern w:val="0"/>
          <w:sz w:val="28"/>
          <w:szCs w:val="28"/>
          <w:lang w:val="en-US" w:eastAsia="zh-CN" w:bidi="ar"/>
        </w:rPr>
      </w:pPr>
      <w:r>
        <w:rPr>
          <w:rFonts w:hint="eastAsia" w:ascii="新宋体" w:hAnsi="新宋体" w:eastAsia="新宋体" w:cs="新宋体"/>
          <w:color w:val="000000"/>
          <w:kern w:val="0"/>
          <w:sz w:val="28"/>
          <w:szCs w:val="28"/>
          <w:lang w:bidi="ar"/>
        </w:rPr>
        <w:t>第五章 树木成活保证技术措施……………………………………</w:t>
      </w:r>
      <w:r>
        <w:rPr>
          <w:rFonts w:hint="eastAsia" w:ascii="新宋体" w:hAnsi="新宋体" w:eastAsia="新宋体" w:cs="新宋体"/>
          <w:color w:val="000000"/>
          <w:kern w:val="0"/>
          <w:sz w:val="28"/>
          <w:szCs w:val="28"/>
          <w:lang w:val="en-US" w:eastAsia="zh-CN" w:bidi="ar"/>
        </w:rPr>
        <w:t>6</w:t>
      </w:r>
    </w:p>
    <w:p>
      <w:pPr>
        <w:widowControl/>
        <w:spacing w:line="600" w:lineRule="auto"/>
        <w:jc w:val="center"/>
        <w:rPr>
          <w:rFonts w:ascii="新宋体" w:hAnsi="新宋体" w:eastAsia="新宋体" w:cs="新宋体"/>
          <w:color w:val="000000"/>
          <w:kern w:val="0"/>
          <w:sz w:val="28"/>
          <w:szCs w:val="28"/>
          <w:lang w:bidi="ar"/>
        </w:rPr>
      </w:pPr>
      <w:r>
        <w:rPr>
          <w:rFonts w:hint="eastAsia" w:ascii="新宋体" w:hAnsi="新宋体" w:eastAsia="新宋体" w:cs="新宋体"/>
          <w:color w:val="000000"/>
          <w:kern w:val="0"/>
          <w:sz w:val="28"/>
          <w:szCs w:val="28"/>
          <w:lang w:bidi="ar"/>
        </w:rPr>
        <w:t>第</w:t>
      </w:r>
      <w:r>
        <w:rPr>
          <w:rFonts w:hint="eastAsia" w:ascii="新宋体" w:hAnsi="新宋体" w:eastAsia="新宋体" w:cs="新宋体"/>
          <w:color w:val="000000"/>
          <w:kern w:val="0"/>
          <w:sz w:val="28"/>
          <w:szCs w:val="28"/>
          <w:lang w:val="en-US" w:eastAsia="zh-CN" w:bidi="ar"/>
        </w:rPr>
        <w:t>六</w:t>
      </w:r>
      <w:r>
        <w:rPr>
          <w:rFonts w:hint="eastAsia" w:ascii="新宋体" w:hAnsi="新宋体" w:eastAsia="新宋体" w:cs="新宋体"/>
          <w:color w:val="000000"/>
          <w:kern w:val="0"/>
          <w:sz w:val="28"/>
          <w:szCs w:val="28"/>
          <w:lang w:bidi="ar"/>
        </w:rPr>
        <w:t>章 施工期间的安全措施………………………………………</w:t>
      </w:r>
      <w:r>
        <w:rPr>
          <w:rFonts w:hint="eastAsia" w:ascii="新宋体" w:hAnsi="新宋体" w:eastAsia="新宋体" w:cs="新宋体"/>
          <w:color w:val="000000"/>
          <w:kern w:val="0"/>
          <w:sz w:val="28"/>
          <w:szCs w:val="28"/>
          <w:lang w:val="en-US" w:eastAsia="zh-CN" w:bidi="ar"/>
        </w:rPr>
        <w:t>7</w:t>
      </w:r>
    </w:p>
    <w:p>
      <w:pPr>
        <w:widowControl/>
        <w:jc w:val="center"/>
        <w:rPr>
          <w:rFonts w:ascii="新宋体" w:hAnsi="新宋体" w:eastAsia="新宋体" w:cs="新宋体"/>
          <w:color w:val="000000"/>
          <w:kern w:val="0"/>
          <w:sz w:val="28"/>
          <w:szCs w:val="28"/>
          <w:lang w:bidi="ar"/>
        </w:rPr>
      </w:pPr>
    </w:p>
    <w:p>
      <w:pPr>
        <w:widowControl/>
        <w:jc w:val="left"/>
        <w:rPr>
          <w:rFonts w:ascii="新宋体" w:hAnsi="新宋体" w:eastAsia="新宋体" w:cs="新宋体"/>
          <w:color w:val="000000"/>
          <w:kern w:val="0"/>
          <w:sz w:val="28"/>
          <w:szCs w:val="28"/>
          <w:lang w:bidi="ar"/>
        </w:rPr>
      </w:pPr>
    </w:p>
    <w:p>
      <w:pPr>
        <w:widowControl/>
        <w:jc w:val="left"/>
        <w:rPr>
          <w:rFonts w:ascii="新宋体" w:hAnsi="新宋体" w:eastAsia="新宋体" w:cs="新宋体"/>
          <w:color w:val="000000"/>
          <w:kern w:val="0"/>
          <w:sz w:val="28"/>
          <w:szCs w:val="28"/>
          <w:lang w:bidi="ar"/>
        </w:rPr>
      </w:pPr>
    </w:p>
    <w:p>
      <w:pPr>
        <w:pStyle w:val="2"/>
        <w:numPr>
          <w:ilvl w:val="0"/>
          <w:numId w:val="1"/>
        </w:numPr>
        <w:spacing w:line="560" w:lineRule="exact"/>
        <w:jc w:val="center"/>
        <w:sectPr>
          <w:footerReference r:id="rId4" w:type="default"/>
          <w:pgSz w:w="11906" w:h="16838"/>
          <w:pgMar w:top="620" w:right="1286" w:bottom="678" w:left="1600" w:header="851" w:footer="992" w:gutter="0"/>
          <w:pgNumType w:fmt="numberInDash" w:start="1"/>
          <w:cols w:space="425" w:num="1"/>
          <w:docGrid w:type="lines" w:linePitch="312" w:charSpace="0"/>
        </w:sectPr>
      </w:pPr>
    </w:p>
    <w:p>
      <w:pPr>
        <w:pStyle w:val="2"/>
        <w:spacing w:line="560" w:lineRule="exact"/>
        <w:jc w:val="center"/>
        <w:rPr>
          <w:rFonts w:ascii="仿宋_GB2312" w:hAnsi="仿宋_GB2312" w:eastAsia="仿宋_GB2312" w:cs="仿宋_GB2312"/>
        </w:rPr>
      </w:pPr>
      <w:r>
        <w:rPr>
          <w:rFonts w:hint="eastAsia" w:ascii="仿宋_GB2312" w:hAnsi="仿宋_GB2312" w:eastAsia="仿宋_GB2312" w:cs="仿宋_GB2312"/>
        </w:rPr>
        <w:t>第一章 工程概况</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环北部湾广东水资源配置工程D1标项目为国家150项重大水利工程之一环北部湾工程的湛江分干线鹤合段，工程位于廉江市与湛江市，沿途经过廉江市、遂溪县、麻章、赤坎。由鹤地取水口、廉江泵站、压力箱、合流水库进库闸等水工建筑物和55.9km输水通道组成。输水通道有16.8km为输水隧洞（10.1km为盾构隧洞,6.7km为顶管隧洞），有39.1km为明挖埋入式PCCP输水管道。盾构管片内径为5.5m，二衬成洞内径为4.6m；顶管内径为4.4m、4.0m、3.6m不等；PCCP管为4.0m和3.6m。</w:t>
      </w:r>
    </w:p>
    <w:p>
      <w:pPr>
        <w:pStyle w:val="2"/>
        <w:spacing w:line="560" w:lineRule="exact"/>
        <w:jc w:val="center"/>
        <w:rPr>
          <w:rFonts w:ascii="仿宋_GB2312" w:hAnsi="仿宋_GB2312" w:eastAsia="仿宋_GB2312" w:cs="仿宋_GB2312"/>
        </w:rPr>
      </w:pPr>
      <w:r>
        <w:rPr>
          <w:rFonts w:hint="eastAsia" w:ascii="仿宋_GB2312" w:hAnsi="仿宋_GB2312" w:eastAsia="仿宋_GB2312" w:cs="仿宋_GB2312"/>
        </w:rPr>
        <w:t>第二章 编制依据</w:t>
      </w:r>
      <w:r>
        <w:rPr>
          <w:rFonts w:hint="eastAsia" w:ascii="仿宋_GB2312" w:hAnsi="仿宋_GB2312" w:eastAsia="仿宋_GB2312" w:cs="仿宋_GB2312"/>
          <w:color w:val="000000"/>
          <w:kern w:val="0"/>
          <w:sz w:val="28"/>
          <w:szCs w:val="28"/>
          <w:lang w:bidi="ar"/>
        </w:rPr>
        <w:t xml:space="preserve">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1.《现状绿化平面图》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2.《城市道路绿化规范与设计规范》（CJJ75-97）；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3.《城市绿地分类标准》（CJJ/T85-2017）；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4.《园林绿化工程施工及验收规范》（CJJ82-2012）；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5.《广东省城市绿化工程施工和验收规范》（DB44/T581-2009）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6.《城市绿地养护技术规范》（DB/T 268-2005）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7.《湛江市城市园林绿化管理办法》 </w:t>
      </w:r>
    </w:p>
    <w:p>
      <w:pPr>
        <w:widowControl/>
        <w:spacing w:line="560" w:lineRule="exact"/>
        <w:jc w:val="left"/>
        <w:rPr>
          <w:rFonts w:ascii="仿宋_GB2312" w:hAnsi="仿宋_GB2312" w:eastAsia="仿宋_GB2312" w:cs="仿宋_GB2312"/>
        </w:rPr>
      </w:pPr>
      <w:r>
        <w:rPr>
          <w:rFonts w:hint="eastAsia" w:ascii="仿宋_GB2312" w:hAnsi="仿宋_GB2312" w:eastAsia="仿宋_GB2312" w:cs="仿宋_GB2312"/>
          <w:color w:val="000000"/>
          <w:kern w:val="0"/>
          <w:sz w:val="28"/>
          <w:szCs w:val="28"/>
          <w:lang w:bidi="ar"/>
        </w:rPr>
        <w:t xml:space="preserve">8.《广东省城市绿化条例》 </w:t>
      </w:r>
    </w:p>
    <w:p>
      <w:pPr>
        <w:widowControl/>
        <w:spacing w:line="560" w:lineRule="exact"/>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9.《湛江市城市规划管理办法》</w:t>
      </w:r>
    </w:p>
    <w:p>
      <w:pPr>
        <w:widowControl/>
        <w:spacing w:line="560" w:lineRule="exact"/>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10.《广东省住房和城乡建设厅关于印发《广东省城市树木保护管理工作指引》的通知》</w:t>
      </w:r>
    </w:p>
    <w:p>
      <w:pPr>
        <w:widowControl/>
        <w:jc w:val="left"/>
        <w:rPr>
          <w:rFonts w:ascii="新宋体" w:hAnsi="新宋体" w:eastAsia="新宋体" w:cs="新宋体"/>
          <w:color w:val="000000"/>
          <w:kern w:val="0"/>
          <w:sz w:val="28"/>
          <w:szCs w:val="28"/>
          <w:lang w:bidi="ar"/>
        </w:rPr>
      </w:pPr>
    </w:p>
    <w:p>
      <w:pPr>
        <w:rPr>
          <w:rFonts w:ascii="新宋体" w:hAnsi="新宋体" w:eastAsia="新宋体" w:cs="新宋体"/>
          <w:color w:val="000000"/>
          <w:kern w:val="0"/>
          <w:sz w:val="28"/>
          <w:szCs w:val="28"/>
          <w:lang w:bidi="ar"/>
        </w:rPr>
      </w:pPr>
      <w:r>
        <w:rPr>
          <w:rFonts w:ascii="新宋体" w:hAnsi="新宋体" w:eastAsia="新宋体" w:cs="新宋体"/>
          <w:color w:val="000000"/>
          <w:kern w:val="0"/>
          <w:sz w:val="28"/>
          <w:szCs w:val="28"/>
          <w:lang w:bidi="ar"/>
        </w:rPr>
        <w:br w:type="page"/>
      </w:r>
    </w:p>
    <w:p>
      <w:pPr>
        <w:pStyle w:val="2"/>
        <w:jc w:val="center"/>
        <w:rPr>
          <w:rFonts w:hint="default" w:ascii="仿宋_GB2312" w:hAnsi="仿宋_GB2312" w:eastAsia="仿宋_GB2312" w:cs="仿宋_GB2312"/>
          <w:lang w:val="en-US" w:eastAsia="zh-CN"/>
        </w:rPr>
      </w:pPr>
      <w:r>
        <w:rPr>
          <w:rFonts w:hint="eastAsia" w:ascii="仿宋_GB2312" w:hAnsi="仿宋_GB2312" w:eastAsia="仿宋_GB2312" w:cs="仿宋_GB2312"/>
        </w:rPr>
        <w:t>第三章 迁移的必要性</w:t>
      </w:r>
      <w:r>
        <w:rPr>
          <w:rFonts w:hint="eastAsia" w:ascii="仿宋_GB2312" w:hAnsi="仿宋_GB2312" w:eastAsia="仿宋_GB2312" w:cs="仿宋_GB2312"/>
          <w:lang w:val="en-US" w:eastAsia="zh-CN"/>
        </w:rPr>
        <w:t>及树种、数量</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广东粤海粤西供水有限公司建设的环北部湾广东水资源配置工程（以下简称“环北广东工程”）是国家水网骨干工程、国家150项重大水利工程、今年重点推进的55项重大水利工程之一，是广东省委、省政府从粤西四市未来发展全局高度谋划建设的重大民生工程，可研报告、初步设计报告均已获得国家相关主管部分批复，目前工程已全面开工。</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环北广东工程项目廉江段目前逐步开工，位于东环大道东侧</w:t>
      </w:r>
      <w:r>
        <w:rPr>
          <w:rFonts w:hint="eastAsia" w:ascii="仿宋_GB2312" w:hAnsi="仿宋_GB2312" w:eastAsia="仿宋_GB2312" w:cs="仿宋_GB2312"/>
          <w:color w:val="000000"/>
          <w:kern w:val="0"/>
          <w:sz w:val="32"/>
          <w:szCs w:val="32"/>
          <w:lang w:val="en-US" w:eastAsia="zh-CN" w:bidi="ar"/>
        </w:rPr>
        <w:t>长度约1.3公里范围内的</w:t>
      </w:r>
      <w:r>
        <w:rPr>
          <w:rFonts w:hint="eastAsia" w:ascii="仿宋_GB2312" w:hAnsi="仿宋_GB2312" w:eastAsia="仿宋_GB2312" w:cs="仿宋_GB2312"/>
          <w:color w:val="000000"/>
          <w:kern w:val="0"/>
          <w:sz w:val="32"/>
          <w:szCs w:val="32"/>
          <w:lang w:bidi="ar"/>
        </w:rPr>
        <w:t>埋管段近期需进场施工，为确保工程顺利进行，需迁移该施工区域内的树木。</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经现场排查统计需迁移小叶榄仁89棵，该树于2018-2019年种植，树木规格为高度：高约3.8m、胸径10-14cm、枝下高约2.1m；秋枫547棵，宫粉紫荆151棵，该批</w:t>
      </w:r>
      <w:bookmarkStart w:id="0" w:name="_GoBack"/>
      <w:bookmarkEnd w:id="0"/>
      <w:r>
        <w:rPr>
          <w:rFonts w:hint="eastAsia" w:ascii="仿宋_GB2312" w:hAnsi="仿宋_GB2312" w:eastAsia="仿宋_GB2312" w:cs="仿宋_GB2312"/>
          <w:color w:val="000000"/>
          <w:kern w:val="0"/>
          <w:sz w:val="32"/>
          <w:szCs w:val="32"/>
          <w:lang w:val="en-US" w:eastAsia="zh-CN" w:bidi="ar"/>
        </w:rPr>
        <w:t>树于2023年年初种植，树木规格为高度：高约1.9m、胸径4-8cm、枝下高约1.6m。</w:t>
      </w:r>
    </w:p>
    <w:p>
      <w:pPr>
        <w:widowControl/>
        <w:spacing w:line="540" w:lineRule="exact"/>
        <w:ind w:firstLine="560" w:firstLineChars="200"/>
        <w:jc w:val="left"/>
        <w:rPr>
          <w:rFonts w:hint="eastAsia"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树木现场照片：</w:t>
      </w:r>
    </w:p>
    <w:p>
      <w:pPr>
        <w:widowControl/>
        <w:spacing w:line="540" w:lineRule="exact"/>
        <w:ind w:firstLine="560" w:firstLineChars="200"/>
        <w:jc w:val="left"/>
        <w:rPr>
          <w:rFonts w:hint="eastAsia" w:ascii="仿宋_GB2312" w:hAnsi="仿宋_GB2312" w:eastAsia="仿宋_GB2312" w:cs="仿宋_GB2312"/>
          <w:b/>
          <w:bCs/>
          <w:color w:val="000000"/>
          <w:kern w:val="0"/>
          <w:sz w:val="28"/>
          <w:szCs w:val="28"/>
          <w:lang w:val="en-US" w:eastAsia="zh-CN" w:bidi="ar"/>
        </w:rPr>
      </w:pPr>
    </w:p>
    <w:tbl>
      <w:tblPr>
        <w:tblStyle w:val="8"/>
        <w:tblW w:w="96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0"/>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both"/>
              <w:rPr>
                <w:rFonts w:hint="eastAsia" w:eastAsiaTheme="minorEastAsia"/>
                <w:vertAlign w:val="baseline"/>
                <w:lang w:eastAsia="zh-CN"/>
              </w:rPr>
            </w:pPr>
            <w:r>
              <w:drawing>
                <wp:inline distT="0" distB="0" distL="114300" distR="114300">
                  <wp:extent cx="2907030" cy="218249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907030" cy="2182495"/>
                          </a:xfrm>
                          <a:prstGeom prst="rect">
                            <a:avLst/>
                          </a:prstGeom>
                          <a:noFill/>
                          <a:ln>
                            <a:noFill/>
                          </a:ln>
                        </pic:spPr>
                      </pic:pic>
                    </a:graphicData>
                  </a:graphic>
                </wp:inline>
              </w:drawing>
            </w:r>
          </w:p>
        </w:tc>
        <w:tc>
          <w:tcPr>
            <w:tcW w:w="4818" w:type="dxa"/>
          </w:tcPr>
          <w:p>
            <w:pPr>
              <w:jc w:val="both"/>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917825" cy="2187575"/>
                  <wp:effectExtent l="0" t="0" r="3175" b="9525"/>
                  <wp:docPr id="2" name="图片 2" descr="3e88a30b59aec284b200950d1b38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88a30b59aec284b200950d1b38c63"/>
                          <pic:cNvPicPr>
                            <a:picLocks noChangeAspect="1"/>
                          </pic:cNvPicPr>
                        </pic:nvPicPr>
                        <pic:blipFill>
                          <a:blip r:embed="rId8"/>
                          <a:stretch>
                            <a:fillRect/>
                          </a:stretch>
                        </pic:blipFill>
                        <pic:spPr>
                          <a:xfrm>
                            <a:off x="0" y="0"/>
                            <a:ext cx="2917825" cy="2187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default" w:eastAsiaTheme="minorEastAsia"/>
                <w:b/>
                <w:bCs/>
                <w:vertAlign w:val="baseline"/>
                <w:lang w:val="en-US" w:eastAsia="zh-CN"/>
              </w:rPr>
            </w:pPr>
            <w:r>
              <w:rPr>
                <w:rFonts w:hint="eastAsia"/>
                <w:b/>
                <w:bCs/>
                <w:vertAlign w:val="baseline"/>
                <w:lang w:val="en-US" w:eastAsia="zh-CN"/>
              </w:rPr>
              <w:t>现场树木照片</w:t>
            </w:r>
          </w:p>
        </w:tc>
        <w:tc>
          <w:tcPr>
            <w:tcW w:w="4818" w:type="dxa"/>
          </w:tcPr>
          <w:p>
            <w:pPr>
              <w:jc w:val="center"/>
              <w:rPr>
                <w:rFonts w:hint="default" w:eastAsiaTheme="minorEastAsia"/>
                <w:b/>
                <w:bCs/>
                <w:vertAlign w:val="baseline"/>
                <w:lang w:val="en-US" w:eastAsia="zh-CN"/>
              </w:rPr>
            </w:pPr>
            <w:r>
              <w:rPr>
                <w:rFonts w:hint="eastAsia"/>
                <w:b/>
                <w:bCs/>
                <w:vertAlign w:val="baseline"/>
                <w:lang w:val="en-US" w:eastAsia="zh-CN"/>
              </w:rPr>
              <w:t>现场树木照片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eastAsia"/>
                <w:b/>
                <w:bCs/>
                <w:vertAlign w:val="baseline"/>
                <w:lang w:val="en-US" w:eastAsia="zh-CN"/>
              </w:rPr>
            </w:pPr>
            <w:r>
              <w:drawing>
                <wp:inline distT="0" distB="0" distL="114300" distR="114300">
                  <wp:extent cx="2907030" cy="2192655"/>
                  <wp:effectExtent l="0" t="0" r="127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907030" cy="2192655"/>
                          </a:xfrm>
                          <a:prstGeom prst="rect">
                            <a:avLst/>
                          </a:prstGeom>
                          <a:noFill/>
                          <a:ln>
                            <a:noFill/>
                          </a:ln>
                        </pic:spPr>
                      </pic:pic>
                    </a:graphicData>
                  </a:graphic>
                </wp:inline>
              </w:drawing>
            </w:r>
          </w:p>
        </w:tc>
        <w:tc>
          <w:tcPr>
            <w:tcW w:w="4818" w:type="dxa"/>
          </w:tcPr>
          <w:p>
            <w:pPr>
              <w:jc w:val="center"/>
              <w:rPr>
                <w:rFonts w:hint="eastAsia"/>
                <w:b/>
                <w:bCs/>
                <w:vertAlign w:val="baseline"/>
                <w:lang w:val="en-US" w:eastAsia="zh-CN"/>
              </w:rPr>
            </w:pPr>
            <w:r>
              <w:drawing>
                <wp:inline distT="0" distB="0" distL="114300" distR="114300">
                  <wp:extent cx="2917190" cy="2187575"/>
                  <wp:effectExtent l="0" t="0" r="381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2917190" cy="2187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eastAsia"/>
                <w:b/>
                <w:bCs/>
                <w:vertAlign w:val="baseline"/>
                <w:lang w:val="en-US" w:eastAsia="zh-CN"/>
              </w:rPr>
            </w:pPr>
            <w:r>
              <w:rPr>
                <w:rFonts w:hint="eastAsia"/>
                <w:b/>
                <w:bCs/>
                <w:vertAlign w:val="baseline"/>
                <w:lang w:val="en-US" w:eastAsia="zh-CN"/>
              </w:rPr>
              <w:t>现场树木照片</w:t>
            </w:r>
          </w:p>
        </w:tc>
        <w:tc>
          <w:tcPr>
            <w:tcW w:w="4818" w:type="dxa"/>
          </w:tcPr>
          <w:p>
            <w:pPr>
              <w:jc w:val="center"/>
              <w:rPr>
                <w:rFonts w:hint="eastAsia"/>
                <w:b/>
                <w:bCs/>
                <w:vertAlign w:val="baseline"/>
                <w:lang w:val="en-US" w:eastAsia="zh-CN"/>
              </w:rPr>
            </w:pPr>
            <w:r>
              <w:rPr>
                <w:rFonts w:hint="eastAsia"/>
                <w:b/>
                <w:bCs/>
                <w:vertAlign w:val="baseline"/>
                <w:lang w:val="en-US" w:eastAsia="zh-CN"/>
              </w:rPr>
              <w:t>现场树木照片</w:t>
            </w:r>
          </w:p>
        </w:tc>
      </w:tr>
    </w:tbl>
    <w:p>
      <w:pPr>
        <w:pStyle w:val="2"/>
        <w:jc w:val="both"/>
        <w:rPr>
          <w:rFonts w:hint="eastAsia"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树木迁移线路图：</w:t>
      </w:r>
    </w:p>
    <w:tbl>
      <w:tblPr>
        <w:tblStyle w:val="8"/>
        <w:tblW w:w="96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0"/>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eastAsia"/>
                <w:b/>
                <w:bCs/>
                <w:vertAlign w:val="baseline"/>
                <w:lang w:val="en-US" w:eastAsia="zh-CN"/>
              </w:rPr>
            </w:pPr>
            <w:r>
              <w:rPr>
                <w:position w:val="-140"/>
              </w:rPr>
              <w:drawing>
                <wp:inline distT="0" distB="0" distL="0" distR="0">
                  <wp:extent cx="2231390" cy="2247265"/>
                  <wp:effectExtent l="0" t="0" r="3810" b="635"/>
                  <wp:docPr id="10" name="IM 2"/>
                  <wp:cNvGraphicFramePr/>
                  <a:graphic xmlns:a="http://schemas.openxmlformats.org/drawingml/2006/main">
                    <a:graphicData uri="http://schemas.openxmlformats.org/drawingml/2006/picture">
                      <pic:pic xmlns:pic="http://schemas.openxmlformats.org/drawingml/2006/picture">
                        <pic:nvPicPr>
                          <pic:cNvPr id="10" name="IM 2"/>
                          <pic:cNvPicPr/>
                        </pic:nvPicPr>
                        <pic:blipFill>
                          <a:blip r:embed="rId11"/>
                          <a:stretch>
                            <a:fillRect/>
                          </a:stretch>
                        </pic:blipFill>
                        <pic:spPr>
                          <a:xfrm>
                            <a:off x="0" y="0"/>
                            <a:ext cx="2231390" cy="2247265"/>
                          </a:xfrm>
                          <a:prstGeom prst="rect">
                            <a:avLst/>
                          </a:prstGeom>
                        </pic:spPr>
                      </pic:pic>
                    </a:graphicData>
                  </a:graphic>
                </wp:inline>
              </w:drawing>
            </w:r>
          </w:p>
        </w:tc>
        <w:tc>
          <w:tcPr>
            <w:tcW w:w="4818" w:type="dxa"/>
          </w:tcPr>
          <w:p>
            <w:pPr>
              <w:jc w:val="center"/>
              <w:rPr>
                <w:rFonts w:hint="eastAsia"/>
                <w:b/>
                <w:bCs/>
                <w:vertAlign w:val="baseline"/>
                <w:lang w:val="en-US" w:eastAsia="zh-CN"/>
              </w:rPr>
            </w:pPr>
            <w:r>
              <w:rPr>
                <w:position w:val="-208"/>
              </w:rPr>
              <w:drawing>
                <wp:inline distT="0" distB="0" distL="0" distR="0">
                  <wp:extent cx="2350135" cy="2447925"/>
                  <wp:effectExtent l="0" t="0" r="12065" b="3175"/>
                  <wp:docPr id="11" name="IM 4"/>
                  <wp:cNvGraphicFramePr/>
                  <a:graphic xmlns:a="http://schemas.openxmlformats.org/drawingml/2006/main">
                    <a:graphicData uri="http://schemas.openxmlformats.org/drawingml/2006/picture">
                      <pic:pic xmlns:pic="http://schemas.openxmlformats.org/drawingml/2006/picture">
                        <pic:nvPicPr>
                          <pic:cNvPr id="11" name="IM 4"/>
                          <pic:cNvPicPr/>
                        </pic:nvPicPr>
                        <pic:blipFill>
                          <a:blip r:embed="rId12"/>
                          <a:stretch>
                            <a:fillRect/>
                          </a:stretch>
                        </pic:blipFill>
                        <pic:spPr>
                          <a:xfrm>
                            <a:off x="0" y="0"/>
                            <a:ext cx="2350135" cy="24479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default"/>
                <w:b/>
                <w:bCs/>
                <w:vertAlign w:val="baseline"/>
                <w:lang w:val="en-US" w:eastAsia="zh-CN"/>
              </w:rPr>
            </w:pPr>
            <w:r>
              <w:rPr>
                <w:rFonts w:hint="eastAsia"/>
                <w:b/>
                <w:bCs/>
                <w:vertAlign w:val="baseline"/>
                <w:lang w:val="en-US" w:eastAsia="zh-CN"/>
              </w:rPr>
              <w:t>树木迁移线路图1</w:t>
            </w:r>
          </w:p>
        </w:tc>
        <w:tc>
          <w:tcPr>
            <w:tcW w:w="4818" w:type="dxa"/>
          </w:tcPr>
          <w:p>
            <w:pPr>
              <w:jc w:val="center"/>
              <w:rPr>
                <w:rFonts w:hint="default"/>
                <w:b/>
                <w:bCs/>
                <w:vertAlign w:val="baseline"/>
                <w:lang w:val="en-US" w:eastAsia="zh-CN"/>
              </w:rPr>
            </w:pPr>
            <w:r>
              <w:rPr>
                <w:rFonts w:hint="eastAsia"/>
                <w:b/>
                <w:bCs/>
                <w:vertAlign w:val="baseline"/>
                <w:lang w:val="en-US" w:eastAsia="zh-CN"/>
              </w:rPr>
              <w:t>树木迁移线路图2</w:t>
            </w:r>
          </w:p>
        </w:tc>
      </w:tr>
    </w:tbl>
    <w:p>
      <w:pPr>
        <w:rPr>
          <w:rFonts w:hint="eastAsia"/>
          <w:lang w:val="en-US" w:eastAsia="zh-CN"/>
        </w:rPr>
      </w:pPr>
    </w:p>
    <w:tbl>
      <w:tblPr>
        <w:tblStyle w:val="8"/>
        <w:tblW w:w="96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0"/>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eastAsia"/>
                <w:b/>
                <w:bCs/>
                <w:vertAlign w:val="baseline"/>
                <w:lang w:val="en-US" w:eastAsia="zh-CN"/>
              </w:rPr>
            </w:pPr>
            <w:r>
              <w:drawing>
                <wp:inline distT="0" distB="0" distL="114300" distR="114300">
                  <wp:extent cx="2149475" cy="234950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2149475" cy="2349500"/>
                          </a:xfrm>
                          <a:prstGeom prst="rect">
                            <a:avLst/>
                          </a:prstGeom>
                          <a:noFill/>
                          <a:ln>
                            <a:noFill/>
                          </a:ln>
                        </pic:spPr>
                      </pic:pic>
                    </a:graphicData>
                  </a:graphic>
                </wp:inline>
              </w:drawing>
            </w:r>
          </w:p>
        </w:tc>
        <w:tc>
          <w:tcPr>
            <w:tcW w:w="4818" w:type="dxa"/>
          </w:tcPr>
          <w:p>
            <w:pPr>
              <w:jc w:val="center"/>
              <w:rPr>
                <w:rFonts w:hint="eastAsia"/>
                <w:b/>
                <w:bCs/>
                <w:vertAlign w:val="baseline"/>
                <w:lang w:val="en-US" w:eastAsia="zh-CN"/>
              </w:rPr>
            </w:pPr>
            <w:r>
              <w:rPr>
                <w:position w:val="-213"/>
              </w:rPr>
              <w:drawing>
                <wp:inline distT="0" distB="0" distL="0" distR="0">
                  <wp:extent cx="2244725" cy="2381885"/>
                  <wp:effectExtent l="0" t="0" r="3175" b="571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2244725" cy="2381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tcPr>
          <w:p>
            <w:pPr>
              <w:jc w:val="center"/>
              <w:rPr>
                <w:rFonts w:hint="default"/>
                <w:b/>
                <w:bCs/>
                <w:vertAlign w:val="baseline"/>
                <w:lang w:val="en-US" w:eastAsia="zh-CN"/>
              </w:rPr>
            </w:pPr>
            <w:r>
              <w:rPr>
                <w:rFonts w:hint="eastAsia"/>
                <w:b/>
                <w:bCs/>
                <w:vertAlign w:val="baseline"/>
                <w:lang w:val="en-US" w:eastAsia="zh-CN"/>
              </w:rPr>
              <w:t>树木迁移线路图3</w:t>
            </w:r>
          </w:p>
        </w:tc>
        <w:tc>
          <w:tcPr>
            <w:tcW w:w="4818" w:type="dxa"/>
          </w:tcPr>
          <w:p>
            <w:pPr>
              <w:jc w:val="center"/>
              <w:rPr>
                <w:rFonts w:hint="default"/>
                <w:b/>
                <w:bCs/>
                <w:vertAlign w:val="baseline"/>
                <w:lang w:val="en-US" w:eastAsia="zh-CN"/>
              </w:rPr>
            </w:pPr>
            <w:r>
              <w:rPr>
                <w:rFonts w:hint="eastAsia"/>
                <w:b/>
                <w:bCs/>
                <w:vertAlign w:val="baseline"/>
                <w:lang w:val="en-US" w:eastAsia="zh-CN"/>
              </w:rPr>
              <w:t>树木迁移线路图4</w:t>
            </w:r>
          </w:p>
        </w:tc>
      </w:tr>
    </w:tbl>
    <w:p>
      <w:pPr>
        <w:rPr>
          <w:rFonts w:hint="default"/>
          <w:lang w:val="en-US" w:eastAsia="zh-CN"/>
        </w:rPr>
      </w:pPr>
    </w:p>
    <w:p>
      <w:pPr>
        <w:pStyle w:val="2"/>
        <w:jc w:val="center"/>
        <w:rPr>
          <w:rFonts w:ascii="仿宋_GB2312" w:hAnsi="仿宋_GB2312" w:eastAsia="仿宋_GB2312" w:cs="仿宋_GB2312"/>
        </w:rPr>
      </w:pPr>
      <w:r>
        <w:rPr>
          <w:rFonts w:hint="eastAsia" w:ascii="仿宋_GB2312" w:hAnsi="仿宋_GB2312" w:eastAsia="仿宋_GB2312" w:cs="仿宋_GB2312"/>
        </w:rPr>
        <w:t>第四章 树木迁移施工方案</w:t>
      </w:r>
    </w:p>
    <w:p>
      <w:pPr>
        <w:widowControl/>
        <w:spacing w:line="540" w:lineRule="exact"/>
        <w:ind w:firstLine="640" w:firstLineChars="200"/>
        <w:jc w:val="left"/>
        <w:outlineLvl w:val="1"/>
        <w:rPr>
          <w:rFonts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bidi="ar"/>
        </w:rPr>
        <w:t xml:space="preserve">一、移植的准备工作： </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（一）移植前应对移植的乔木生长、立地条件、周边管线等进行调查研究，制定技术方案和安全措施。 </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（二）准备移植所需机械、运输设备和大型工具必须完好，确保操作安全。</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（三）移植的乔木为植株健壮、生长正常的树木，并具备起重及运输机械等设备能正常工作的现场条件。 </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（四）选定的移植乔木，应在树干南侧做出明显标识，标明树木的阴、阳面及出土线。 </w:t>
      </w:r>
    </w:p>
    <w:p>
      <w:pPr>
        <w:widowControl/>
        <w:spacing w:line="540" w:lineRule="exact"/>
        <w:ind w:firstLine="640" w:firstLineChars="200"/>
        <w:jc w:val="left"/>
        <w:outlineLvl w:val="2"/>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（五）移植大树可在移植前分期断根、修剪，做好移植准备。 </w:t>
      </w:r>
    </w:p>
    <w:p>
      <w:pPr>
        <w:widowControl/>
        <w:spacing w:line="540" w:lineRule="exact"/>
        <w:ind w:firstLine="640" w:firstLineChars="200"/>
        <w:jc w:val="left"/>
        <w:outlineLvl w:val="1"/>
        <w:rPr>
          <w:rFonts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bidi="ar"/>
        </w:rPr>
        <w:t xml:space="preserve">二、 移植中需注意的问题 </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（一）生命力衰弱:树木的机体衰老导致病虫及各种菌种容易入侵，旦侵入危害，就很难救治； </w:t>
      </w:r>
    </w:p>
    <w:p>
      <w:pPr>
        <w:widowControl/>
        <w:spacing w:line="540" w:lineRule="exact"/>
        <w:ind w:firstLine="640" w:firstLineChars="200"/>
        <w:jc w:val="left"/>
        <w:outlineLvl w:val="2"/>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（二）迁移中树木支撑保护困难。由于生长环境和各种人为因素造成迁移苗木树冠生长不平衡，迁移时极容易引起负荷不平衡，迁移过程中易发生倾斜或倒伏；</w:t>
      </w:r>
    </w:p>
    <w:p>
      <w:pPr>
        <w:widowControl/>
        <w:spacing w:line="540" w:lineRule="exact"/>
        <w:ind w:firstLine="640" w:firstLineChars="200"/>
        <w:jc w:val="left"/>
        <w:outlineLvl w:val="1"/>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 xml:space="preserve">三、树木迁移施工程序 </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移栽流程:迁移前准备工作-栽种地种植穴开挖-清理-修枝-断根-起土球-加固-挖掘机环状挖沟-修理土球-土球包扎-吊装及运输-种植-树木支撑并及时投入养护工作</w:t>
      </w:r>
      <w:r>
        <w:rPr>
          <w:rFonts w:hint="eastAsia" w:ascii="仿宋_GB2312" w:hAnsi="仿宋_GB2312" w:eastAsia="仿宋_GB2312" w:cs="仿宋_GB2312"/>
          <w:color w:val="000000"/>
          <w:kern w:val="0"/>
          <w:sz w:val="32"/>
          <w:szCs w:val="32"/>
          <w:lang w:eastAsia="zh-CN" w:bidi="ar"/>
        </w:rPr>
        <w:t>。</w:t>
      </w:r>
    </w:p>
    <w:p>
      <w:pPr>
        <w:widowControl/>
        <w:numPr>
          <w:ilvl w:val="0"/>
          <w:numId w:val="2"/>
        </w:numPr>
        <w:spacing w:line="540" w:lineRule="exact"/>
        <w:ind w:firstLine="640" w:firstLineChars="200"/>
        <w:jc w:val="left"/>
        <w:outlineLvl w:val="2"/>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树木迁移前准备工作</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1.准备所需物品:支撑杆、钳子、铁丝、铁锹、镐，手锯、兵工铲，找好吊车、运输车等等。</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2.掌握苗木生物特性、生态习性、种植地土壤等环境因素。种植穴挖掘前，了解地上和地下管线及隐蔽物埋设情况。</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3.移植前对栽植地做土壤的理化性质、地下水矿化度分析。土壤应达到全盐含量低于 0.3%，pH 值在 6.58.5 之间。若土壤不符合以上条件，对栽植土采取下列措施。</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(1)当 pH 值小于 6.5 或大于 8.5 时，采取土壤改良措施。</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 土壤全盐含量在 0.3~0.5%时，换土及扩大树穴。</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 土壤全盐含量在 0.5%以上时，采取综合改土措施。</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 土壤容重在 1.45g/厘米3 以上时，改土或加入疏松基质。</w:t>
      </w:r>
      <w:r>
        <w:rPr>
          <w:rFonts w:hint="eastAsia" w:ascii="仿宋_GB2312" w:hAnsi="仿宋_GB2312" w:eastAsia="仿宋_GB2312" w:cs="仿宋_GB2312"/>
          <w:kern w:val="0"/>
          <w:sz w:val="32"/>
          <w:szCs w:val="32"/>
          <w:lang w:bidi="ar"/>
        </w:rPr>
        <w:t xml:space="preserve"> </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4.移植栽种地的处理：为更好地布置本次苗木迁移工作，保证有关苗木的成活，迁移施工方案审批完成后，应先安排进行种植区域环境提升工程移植栽种地的处理，首先为栽植地的平整及翻耕，主要包含清理有</w:t>
      </w:r>
      <w:r>
        <w:rPr>
          <w:rFonts w:hint="eastAsia" w:ascii="仿宋_GB2312" w:hAnsi="仿宋_GB2312" w:eastAsia="仿宋_GB2312" w:cs="仿宋_GB2312"/>
          <w:color w:val="000000"/>
          <w:kern w:val="0"/>
          <w:sz w:val="32"/>
          <w:szCs w:val="32"/>
          <w:lang w:bidi="ar"/>
        </w:rPr>
        <w:t xml:space="preserve">关石块、垃圾及翻松栽种地种植土，提前挖好种植穴，准备好有机肥，根据实际需要确定是否需增加回填种植土，若土壤状况不良还应提前进行土壤改良工作。如实际需要做回填种植土的，务必挑选透水、透气好的种植土进行回填。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5.栽种地种植穴开挖：为防止栽种地有关苗木种植穴开挖得过大或过深而影响日后苗木成活，所以栽种地种植穴的开挖务必于苗木起挖工作同步进行，按起挖修整后苗木的实际土球和相关规范要求布置种植穴的开挖大小及深度。 </w:t>
      </w:r>
    </w:p>
    <w:p>
      <w:pPr>
        <w:widowControl/>
        <w:numPr>
          <w:ilvl w:val="0"/>
          <w:numId w:val="2"/>
        </w:numPr>
        <w:spacing w:line="540" w:lineRule="exact"/>
        <w:ind w:firstLine="640" w:firstLineChars="200"/>
        <w:jc w:val="left"/>
        <w:outlineLvl w:val="2"/>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树木迁移步骤</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1.清理:对迁移树木周边的树池进行拆除清理。树木迁移后，树坑土方回填夯实；</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2.修枝:考虑到一次移植、未进行炼根。树木移植时保留原自然高度，10 cm以下支杆基本全部修完，因树冠观感需要，保留小量 10 cm以下支杆，树冠保留在冠幅1.5-5m左右。</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3.断根：修冠工作完成后安排进行苗木断根工作，减少移植时对苗木根部造成的伤害，从而提高迁移苗木成活率。地下部分也应对枯死根、病虫根、过长根、劈裂根进行修剪。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土球直径按胸径的 6-8 倍，树木土球保留</w:t>
      </w:r>
      <w:r>
        <w:rPr>
          <w:rFonts w:hint="eastAsia" w:ascii="仿宋_GB2312" w:hAnsi="仿宋_GB2312" w:eastAsia="仿宋_GB2312" w:cs="仿宋_GB2312"/>
          <w:color w:val="000000"/>
          <w:kern w:val="0"/>
          <w:sz w:val="32"/>
          <w:szCs w:val="32"/>
          <w:lang w:val="en-US" w:eastAsia="zh-CN" w:bidi="ar"/>
        </w:rPr>
        <w:t>40</w:t>
      </w:r>
      <w:r>
        <w:rPr>
          <w:rFonts w:hint="eastAsia" w:ascii="仿宋_GB2312" w:hAnsi="仿宋_GB2312" w:eastAsia="仿宋_GB2312" w:cs="仿宋_GB2312"/>
          <w:color w:val="000000"/>
          <w:kern w:val="0"/>
          <w:sz w:val="32"/>
          <w:szCs w:val="32"/>
          <w:lang w:bidi="ar"/>
        </w:rPr>
        <w:t>cm-</w:t>
      </w:r>
      <w:r>
        <w:rPr>
          <w:rFonts w:hint="eastAsia" w:ascii="仿宋_GB2312" w:hAnsi="仿宋_GB2312" w:eastAsia="仿宋_GB2312" w:cs="仿宋_GB2312"/>
          <w:color w:val="000000"/>
          <w:kern w:val="0"/>
          <w:sz w:val="32"/>
          <w:szCs w:val="32"/>
          <w:lang w:val="en-US" w:eastAsia="zh-CN" w:bidi="ar"/>
        </w:rPr>
        <w:t>80</w:t>
      </w:r>
      <w:r>
        <w:rPr>
          <w:rFonts w:hint="eastAsia" w:ascii="仿宋_GB2312" w:hAnsi="仿宋_GB2312" w:eastAsia="仿宋_GB2312" w:cs="仿宋_GB2312"/>
          <w:color w:val="000000"/>
          <w:kern w:val="0"/>
          <w:sz w:val="32"/>
          <w:szCs w:val="32"/>
          <w:lang w:bidi="ar"/>
        </w:rPr>
        <w:t xml:space="preserve">m。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4.起土球：用</w:t>
      </w:r>
      <w:r>
        <w:rPr>
          <w:rFonts w:hint="eastAsia" w:ascii="仿宋_GB2312" w:hAnsi="仿宋_GB2312" w:eastAsia="仿宋_GB2312" w:cs="仿宋_GB2312"/>
          <w:color w:val="000000"/>
          <w:kern w:val="0"/>
          <w:sz w:val="32"/>
          <w:szCs w:val="32"/>
          <w:lang w:val="en-US" w:eastAsia="zh-CN" w:bidi="ar"/>
        </w:rPr>
        <w:t>散光网和胶带围扎</w:t>
      </w:r>
      <w:r>
        <w:rPr>
          <w:rFonts w:hint="eastAsia" w:ascii="仿宋_GB2312" w:hAnsi="仿宋_GB2312" w:eastAsia="仿宋_GB2312" w:cs="仿宋_GB2312"/>
          <w:color w:val="000000"/>
          <w:kern w:val="0"/>
          <w:sz w:val="32"/>
          <w:szCs w:val="32"/>
          <w:lang w:bidi="ar"/>
        </w:rPr>
        <w:t>。</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5.加固:用木桩进行树身加固防止树身折断和倾斜；</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6.人工修理土球，要求认真，仔细，确保土球完整；</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bidi="ar"/>
        </w:rPr>
        <w:t>.吊装及运输：</w:t>
      </w:r>
      <w:r>
        <w:rPr>
          <w:rFonts w:hint="eastAsia" w:ascii="仿宋_GB2312" w:hAnsi="仿宋_GB2312" w:eastAsia="仿宋_GB2312" w:cs="仿宋_GB2312"/>
          <w:color w:val="000000"/>
          <w:spacing w:val="-11"/>
          <w:kern w:val="0"/>
          <w:sz w:val="32"/>
          <w:szCs w:val="32"/>
          <w:lang w:bidi="ar"/>
        </w:rPr>
        <w:t>吊机装车是需多注意苗木树身、树皮保护，严禁采用钢丝绳吊装。</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输：运输吊装苗木的机具和车辆的工作吨位，必须满足苗木吊装、运输的需要，并制定相应的安全损伤措施。苗木运输量应根据现场种植量确定，苗木运到现场后应及时种植，确保当天种植完毕。带土苗木装车和运输时排列顺序就合理，捆绑稳固，卸车时应轻取轻放，不得损伤苗木及散泥球。</w:t>
      </w:r>
    </w:p>
    <w:p>
      <w:pPr>
        <w:widowControl/>
        <w:spacing w:line="540" w:lineRule="exact"/>
        <w:ind w:firstLine="640" w:firstLineChars="200"/>
        <w:jc w:val="left"/>
        <w:rPr>
          <w:rFonts w:hint="default"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en-US" w:eastAsia="zh-CN" w:bidi="ar"/>
        </w:rPr>
        <w:t>8.种植地点：将移植的苗木运到路的对面补种。</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9</w:t>
      </w:r>
      <w:r>
        <w:rPr>
          <w:rFonts w:hint="eastAsia" w:ascii="仿宋_GB2312" w:hAnsi="仿宋_GB2312" w:eastAsia="仿宋_GB2312" w:cs="仿宋_GB2312"/>
          <w:color w:val="000000"/>
          <w:kern w:val="0"/>
          <w:sz w:val="32"/>
          <w:szCs w:val="32"/>
          <w:lang w:bidi="ar"/>
        </w:rPr>
        <w:t>.种植：种植时应注意观赏面的合理朝向，种植深度应与原种植线持平或稍高；回填的种植土应分层捣实，30-40厘米 一层；植物应保持直立、不得倾斜；定植后，拆除土球外包装物，及时浇透定根水。</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10</w:t>
      </w:r>
      <w:r>
        <w:rPr>
          <w:rFonts w:hint="eastAsia" w:ascii="仿宋_GB2312" w:hAnsi="仿宋_GB2312" w:eastAsia="仿宋_GB2312" w:cs="仿宋_GB2312"/>
          <w:color w:val="000000"/>
          <w:kern w:val="0"/>
          <w:sz w:val="32"/>
          <w:szCs w:val="32"/>
          <w:lang w:bidi="ar"/>
        </w:rPr>
        <w:t xml:space="preserve">.做好树木支撑并及时投入养护工作。四角或三角桩扶架，扶架干的支撑点应在树干的 2/3 处，在树穴四周地面的支撑处应该放置高 30厘米 的桩。对于歪斜较严重的树木，在承受力大的一侧可多加一个支撑，并在支撑点处顶上一块适当的木板。发现土面下沉，必须及时调整支撑部位，防止吊桩。 </w:t>
      </w:r>
    </w:p>
    <w:p>
      <w:pPr>
        <w:widowControl/>
        <w:jc w:val="left"/>
      </w:pPr>
      <w:r>
        <w:drawing>
          <wp:inline distT="0" distB="0" distL="114300" distR="114300">
            <wp:extent cx="5765165" cy="3333115"/>
            <wp:effectExtent l="0" t="0" r="6985" b="63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5765165" cy="3333115"/>
                    </a:xfrm>
                    <a:prstGeom prst="rect">
                      <a:avLst/>
                    </a:prstGeom>
                    <a:noFill/>
                    <a:ln>
                      <a:noFill/>
                    </a:ln>
                  </pic:spPr>
                </pic:pic>
              </a:graphicData>
            </a:graphic>
          </wp:inline>
        </w:drawing>
      </w:r>
    </w:p>
    <w:p>
      <w:pPr>
        <w:widowControl/>
        <w:jc w:val="left"/>
      </w:pPr>
    </w:p>
    <w:p>
      <w:pPr>
        <w:pStyle w:val="2"/>
        <w:jc w:val="center"/>
        <w:rPr>
          <w:rFonts w:ascii="仿宋_GB2312" w:hAnsi="仿宋_GB2312" w:eastAsia="仿宋_GB2312" w:cs="仿宋_GB2312"/>
        </w:rPr>
      </w:pPr>
      <w:r>
        <w:rPr>
          <w:rFonts w:hint="eastAsia" w:ascii="仿宋_GB2312" w:hAnsi="仿宋_GB2312" w:eastAsia="仿宋_GB2312" w:cs="仿宋_GB2312"/>
        </w:rPr>
        <w:t>第五章 树木成活保证技术措施</w:t>
      </w:r>
    </w:p>
    <w:p>
      <w:pPr>
        <w:widowControl/>
        <w:spacing w:line="560" w:lineRule="exact"/>
        <w:ind w:firstLine="640" w:firstLineChars="200"/>
        <w:jc w:val="left"/>
        <w:outlineLvl w:val="1"/>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一、土壤的选择和处理</w:t>
      </w:r>
    </w:p>
    <w:p>
      <w:pPr>
        <w:widowControl/>
        <w:spacing w:line="56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要选择通气、透水性好，有保水保肥能力，土内水、肥、气、热状况协调的土壤。用泥沙持黄土 (3:1 为佳》作为移后的定植用土比较好，它有三大好处，一是与树根有"亲和力“。在栽培大树时，根部与土往往有无法压实的空隙，经雨水的侵蚀，说沙拌黄土易与树根贴实:二是通气性好。能增高地温，促进根系的萌芽，三是排水性能好。雨季能迅迷排掉多余的积水。免遭水沤，造成根部死亡，早季浇水能迅速吸收、扩散。</w:t>
      </w:r>
    </w:p>
    <w:p>
      <w:pPr>
        <w:widowControl/>
        <w:spacing w:line="56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在挖掘过程中要有选择的保留一部分树彬际原土，以利于树太邮根。同时必须在树木移粮半个月前对穴土进行杀菌、除虫处理，用50%托布津或 50%多菌灵粉剂持土杀菌，用 50%面威题粒剂拌土杀虫(以上药剂拌土的比例为 0.1%)。</w:t>
      </w:r>
    </w:p>
    <w:p>
      <w:pPr>
        <w:widowControl/>
        <w:spacing w:line="560" w:lineRule="exact"/>
        <w:ind w:firstLine="640" w:firstLineChars="200"/>
        <w:jc w:val="left"/>
        <w:outlineLvl w:val="1"/>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二、移裁后病虫害的防治:</w:t>
      </w:r>
    </w:p>
    <w:p>
      <w:pPr>
        <w:widowControl/>
        <w:spacing w:line="560" w:lineRule="exact"/>
        <w:ind w:firstLine="640" w:firstLineChars="200"/>
        <w:jc w:val="left"/>
        <w:rPr>
          <w:rFonts w:hint="eastAsia" w:ascii="新宋体" w:hAnsi="新宋体" w:eastAsia="新宋体" w:cs="新宋体"/>
          <w:color w:val="000000"/>
          <w:kern w:val="0"/>
          <w:sz w:val="31"/>
          <w:szCs w:val="31"/>
          <w:lang w:bidi="ar"/>
        </w:rPr>
      </w:pPr>
      <w:r>
        <w:rPr>
          <w:rFonts w:hint="eastAsia" w:ascii="仿宋_GB2312" w:hAnsi="仿宋_GB2312" w:eastAsia="仿宋_GB2312" w:cs="仿宋_GB2312"/>
          <w:color w:val="000000"/>
          <w:kern w:val="0"/>
          <w:sz w:val="32"/>
          <w:szCs w:val="32"/>
          <w:lang w:bidi="ar"/>
        </w:rPr>
        <w:t>树木通过锯截、移栽，伤口多，萌芽的树叶嫩，树体的抵抗力弱容易遭受病害、虫害，所以要加强预防。可用多菌灵或托布津、敌杀死等农药混合喷施。分4月、7月、9 月三个阶段，每个阶段连续本次药，每星期一次，正常情况下可达到防治的目的。</w:t>
      </w:r>
    </w:p>
    <w:p>
      <w:pPr>
        <w:pStyle w:val="2"/>
        <w:spacing w:line="560" w:lineRule="exact"/>
        <w:jc w:val="center"/>
        <w:rPr>
          <w:rFonts w:hint="eastAsia" w:ascii="仿宋_GB2312" w:hAnsi="仿宋_GB2312" w:eastAsia="仿宋_GB2312" w:cs="仿宋_GB2312"/>
        </w:rPr>
      </w:pPr>
      <w:r>
        <w:rPr>
          <w:rFonts w:hint="eastAsia" w:ascii="仿宋_GB2312" w:hAnsi="仿宋_GB2312" w:eastAsia="仿宋_GB2312" w:cs="仿宋_GB2312"/>
        </w:rPr>
        <w:t xml:space="preserve">第六章 施工期间的安全措施 </w:t>
      </w:r>
    </w:p>
    <w:p>
      <w:pPr>
        <w:widowControl/>
        <w:spacing w:line="540" w:lineRule="exact"/>
        <w:ind w:firstLine="640" w:firstLineChars="200"/>
        <w:jc w:val="left"/>
        <w:outlineLvl w:val="1"/>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一、交通维护措施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为方便施工，迁移期间做好安全警示标识。 </w:t>
      </w:r>
    </w:p>
    <w:p>
      <w:pPr>
        <w:widowControl/>
        <w:spacing w:line="540" w:lineRule="exact"/>
        <w:ind w:firstLine="640" w:firstLineChars="200"/>
        <w:jc w:val="left"/>
        <w:outlineLvl w:val="1"/>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二、苗木移植时的安全措施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一）作业前必须对现场环境（如地下管线的种类、深度、架空线的种类及净空高度）、运输线路（道路宽度、路面质量、立体交叉的净空高度）、其它空间障碍物、桥涵、宽度、承载车能力及有效的转弯半径等进行调查了解后，制定出安全措施，方可施工。 </w:t>
      </w:r>
    </w:p>
    <w:p>
      <w:pPr>
        <w:widowControl/>
        <w:spacing w:line="540" w:lineRule="exact"/>
        <w:ind w:firstLine="640" w:firstLineChars="200"/>
        <w:jc w:val="left"/>
        <w:outlineLvl w:val="2"/>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（二）挖掘树木前，先将树木支撑稳固。</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（三）掏底时从相对的两侧进行，每次掏空宽度不得超过单块底板的宽度。</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（四）掏底工作人员在操作时， 头部和身体不得进入土台下。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（五）风力达到 4 级以上时（含 4 级），停止掏底作业。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（六）在进行掏底作业时，地面人员不得在台上走动，站立或放置笨重对象。</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（七）挖掘、吊装树木使用的工具、绳索、紧固机件、丝扣接头等，与使用前由负责人检查，不能保证安全的，不得使用。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（八）操作坑周围的地面，不可随意堆放工具、材料，安放稳妥，防止落入坑内伤人。 </w:t>
      </w:r>
    </w:p>
    <w:p>
      <w:pPr>
        <w:widowControl/>
        <w:spacing w:line="540" w:lineRule="exact"/>
        <w:ind w:firstLine="640" w:firstLineChars="200"/>
        <w:jc w:val="left"/>
        <w:outlineLvl w:val="2"/>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（九）操作人员必须佩戴安全帽、革制手套。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（十）吊、卸、入坑栽植前要再检查钢丝绳的质量、规格。接头、卡环是否可靠，符合安全规定。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（十一）起重机械必须有专人负责指挥，并规定统一的指挥信号，非指定人员不得指挥起重机械或发布信号。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（十二）装车后，木箱或土球必须用紧线器或绳索与车厢坚固结实后方可运行。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（十三）押运人员在车厢上站立于树干两侧，严紧在木箱或土球底部、前面站立。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（十四）押运人员在车辆运行过程中，随时注意检查绳索和支撑物有无松动。脱落，并及时采取措施认真加固。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（十五）押运人员要随车携带挑线竹竿，注意排除影响交通的架空障碍物，并与司机密切配合，注意行驶安全。 </w:t>
      </w:r>
    </w:p>
    <w:p>
      <w:pPr>
        <w:widowControl/>
        <w:spacing w:line="540" w:lineRule="exact"/>
        <w:ind w:firstLine="640" w:firstLineChars="200"/>
        <w:jc w:val="left"/>
        <w:outlineLvl w:val="2"/>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（十六）装、卸车时，吊杆下，严禁站人。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（十七）卸车放置垫木时，头部和手部不得放入苗木土球与垫木之间。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（十八）树木栽植前卸土球保护罩，要及时撤离现场，放置时针并需向下。</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（十九）树木吊放入坑时，树坑内不得站人，如需重新修整树坑，必须将木箱调离树坑，操作人员方能入坑操作。 </w:t>
      </w:r>
    </w:p>
    <w:p>
      <w:pPr>
        <w:widowControl/>
        <w:spacing w:line="540" w:lineRule="exact"/>
        <w:ind w:firstLine="640" w:firstLineChars="200"/>
        <w:jc w:val="left"/>
        <w:outlineLvl w:val="1"/>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三、园林树木修剪时的安全措施 </w:t>
      </w:r>
    </w:p>
    <w:p>
      <w:pPr>
        <w:widowControl/>
        <w:spacing w:line="540" w:lineRule="exact"/>
        <w:ind w:firstLine="640" w:firstLineChars="200"/>
        <w:jc w:val="left"/>
        <w:outlineLvl w:val="2"/>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（一）操作时思想集中，不许打闹谈笑，上树前不许饮酒。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（二）每个作业班组，有实践经验的老工人担任安全质量检查员，负责安全技术指导、质量检查及宣传工作。 </w:t>
      </w:r>
    </w:p>
    <w:p>
      <w:pPr>
        <w:widowControl/>
        <w:spacing w:line="540" w:lineRule="exact"/>
        <w:ind w:firstLine="640" w:firstLineChars="200"/>
        <w:jc w:val="left"/>
        <w:outlineLvl w:val="2"/>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（三）按规定穿好工作服，带好安全帽，系好安全绳和安全带等。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（四）上树木梯子必须牢固，要立的稳，单面梯将上部横挡与树身捆住，人字梯中腰栓绳，角度开张适当。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（五）上树后系好安全绳，手锯绳套拴在手腕上。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（六）五级以上大风不可上树。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（七）接触大枝要由有经验的老工人指挥操作。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（八）公园及路树修剪。要有专人维护现场，树上树下互相配合，防止砸伤行人和过往车辆。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（九）有高血压及心脏病者，不准上树。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（十）修剪工具要坚固耐用，防止误伤或影响工作。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（十一）一棵树修完，不准从此树跳到另一棵树上，不许从树上直接跳下地面。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（十二）几人同时在一树上修剪，要有专人指挥，注意协作，避免误伤同伴。</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（十三）使用高车修剪前，要检查车辆部件，要支放平稳，操作过程中，有专人检查高车状况，有问题及时处理。 </w:t>
      </w:r>
    </w:p>
    <w:p>
      <w:pPr>
        <w:widowControl/>
        <w:spacing w:line="540" w:lineRule="exact"/>
        <w:ind w:firstLine="640" w:firstLineChars="200"/>
        <w:jc w:val="left"/>
        <w:outlineLvl w:val="1"/>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四、施工场地安全文明措施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（一）施工现场指定专人定期洒水清扫，防止扬尘及道路尘埃，保证行人空间良好环境。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（二）进出现场车辆不带泥沙出施工现场。现场设专人铲土，清扫车轮。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（三）运树木的车辆超出车体部分做好安全警示，车辆行驶不猛拐、不急刹车；</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（四）现场和场外安排人清扫洒水，做到不撒土、不扬尘、减少对周围环境的污染。 </w:t>
      </w:r>
    </w:p>
    <w:p>
      <w:pPr>
        <w:widowControl/>
        <w:spacing w:line="54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（五）如有各种遗撒废料，要及时清除，防止对过往车辆及行人的通行安全造成影响。 </w:t>
      </w:r>
    </w:p>
    <w:p>
      <w:pPr>
        <w:widowControl/>
        <w:spacing w:line="540" w:lineRule="exact"/>
        <w:ind w:firstLine="640" w:firstLineChars="200"/>
        <w:jc w:val="left"/>
        <w:outlineLvl w:val="1"/>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 xml:space="preserve">五、人员设备投入情况 </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（一）人员投入</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2899"/>
        <w:gridCol w:w="23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89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工种</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数量</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89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普工</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25</w:t>
            </w:r>
          </w:p>
        </w:tc>
        <w:tc>
          <w:tcPr>
            <w:tcW w:w="2309"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89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吊车司机</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309"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89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挖机司机</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309"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89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运输车司机</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309"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89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水车司机</w:t>
            </w:r>
          </w:p>
        </w:tc>
        <w:tc>
          <w:tcPr>
            <w:tcW w:w="230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309" w:type="dxa"/>
          </w:tcPr>
          <w:p>
            <w:pPr>
              <w:widowControl/>
              <w:spacing w:line="540" w:lineRule="exact"/>
              <w:jc w:val="left"/>
              <w:rPr>
                <w:rFonts w:ascii="仿宋_GB2312" w:hAnsi="仿宋_GB2312" w:eastAsia="仿宋_GB2312" w:cs="仿宋_GB2312"/>
                <w:sz w:val="32"/>
                <w:szCs w:val="32"/>
              </w:rPr>
            </w:pPr>
          </w:p>
        </w:tc>
      </w:tr>
    </w:tbl>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（二）设备投入</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2319"/>
        <w:gridCol w:w="1847"/>
        <w:gridCol w:w="1847"/>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3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机械设备</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单位</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数量</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3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120挖机</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847"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3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25吨吊车</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847"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3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50 吨吊车</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台</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847"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3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9.6米运输车</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辆</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847" w:type="dxa"/>
          </w:tcPr>
          <w:p>
            <w:pPr>
              <w:widowControl/>
              <w:spacing w:line="540" w:lineRule="exact"/>
              <w:jc w:val="lef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319"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12 吨水车</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辆</w:t>
            </w:r>
          </w:p>
        </w:tc>
        <w:tc>
          <w:tcPr>
            <w:tcW w:w="1847" w:type="dxa"/>
          </w:tcPr>
          <w:p>
            <w:pPr>
              <w:widowControl/>
              <w:spacing w:line="54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847" w:type="dxa"/>
          </w:tcPr>
          <w:p>
            <w:pPr>
              <w:widowControl/>
              <w:spacing w:line="540" w:lineRule="exact"/>
              <w:jc w:val="left"/>
              <w:rPr>
                <w:rFonts w:ascii="仿宋_GB2312" w:hAnsi="仿宋_GB2312" w:eastAsia="仿宋_GB2312" w:cs="仿宋_GB2312"/>
                <w:sz w:val="32"/>
                <w:szCs w:val="32"/>
              </w:rPr>
            </w:pPr>
          </w:p>
        </w:tc>
      </w:tr>
    </w:tbl>
    <w:p>
      <w:pPr>
        <w:widowControl/>
        <w:spacing w:line="540" w:lineRule="exact"/>
        <w:ind w:firstLine="640" w:firstLineChars="200"/>
        <w:jc w:val="left"/>
        <w:outlineLvl w:val="1"/>
        <w:rPr>
          <w:rFonts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bidi="ar"/>
        </w:rPr>
        <w:t xml:space="preserve">六、预计工期 </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树木预计在2023年10月份完成迁移</w:t>
      </w:r>
      <w:r>
        <w:rPr>
          <w:rFonts w:hint="eastAsia" w:ascii="仿宋_GB2312" w:hAnsi="仿宋_GB2312" w:eastAsia="仿宋_GB2312" w:cs="仿宋_GB2312"/>
          <w:color w:val="000000"/>
          <w:kern w:val="0"/>
          <w:sz w:val="32"/>
          <w:szCs w:val="32"/>
          <w:lang w:eastAsia="zh-CN" w:bidi="ar"/>
        </w:rPr>
        <w:t>。</w:t>
      </w:r>
    </w:p>
    <w:p>
      <w:pPr>
        <w:widowControl/>
        <w:spacing w:line="540" w:lineRule="exact"/>
        <w:ind w:firstLine="640" w:firstLineChars="200"/>
        <w:jc w:val="left"/>
        <w:outlineLvl w:val="1"/>
        <w:rPr>
          <w:rFonts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bidi="ar"/>
        </w:rPr>
        <w:t xml:space="preserve">七、园林废弃物处理 </w:t>
      </w:r>
    </w:p>
    <w:p>
      <w:pPr>
        <w:widowControl/>
        <w:spacing w:line="54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迁移施工过程中修剪及砍伐产生的碎枝运往碎枝场进行无害化处理，经粉碎、堆沤、发酵处理做成碎枝肥，再利用到园林。</w:t>
      </w:r>
    </w:p>
    <w:p>
      <w:pPr>
        <w:widowControl/>
        <w:spacing w:line="540" w:lineRule="exact"/>
        <w:ind w:firstLine="640" w:firstLineChars="200"/>
        <w:jc w:val="left"/>
        <w:rPr>
          <w:rFonts w:hint="default" w:ascii="仿宋_GB2312" w:hAnsi="仿宋_GB2312" w:eastAsia="仿宋_GB2312" w:cs="仿宋_GB2312"/>
          <w:color w:val="000000"/>
          <w:kern w:val="0"/>
          <w:sz w:val="32"/>
          <w:szCs w:val="32"/>
          <w:lang w:val="en-US" w:eastAsia="zh-CN" w:bidi="ar"/>
        </w:rPr>
      </w:pPr>
    </w:p>
    <w:sectPr>
      <w:footerReference r:id="rId5" w:type="default"/>
      <w:pgSz w:w="11906" w:h="16838"/>
      <w:pgMar w:top="618" w:right="1287" w:bottom="680" w:left="1599"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- 11 -</w:t>
                    </w:r>
                    <w:r>
                      <w:rPr>
                        <w:sz w:val="28"/>
                        <w:szCs w:val="28"/>
                      </w:rPr>
                      <w:fldChar w:fldCharType="end"/>
                    </w:r>
                  </w:p>
                </w:txbxContent>
              </v:textbox>
            </v:shape>
          </w:pict>
        </mc:Fallback>
      </mc:AlternateContent>
    </w:r>
  </w:p>
  <w:p>
    <w:pPr>
      <w:pStyle w:val="5"/>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781B8D"/>
    <w:multiLevelType w:val="singleLevel"/>
    <w:tmpl w:val="FD781B8D"/>
    <w:lvl w:ilvl="0" w:tentative="0">
      <w:start w:val="1"/>
      <w:numFmt w:val="chineseCounting"/>
      <w:suff w:val="space"/>
      <w:lvlText w:val="第%1章"/>
      <w:lvlJc w:val="left"/>
      <w:rPr>
        <w:rFonts w:hint="eastAsia"/>
      </w:rPr>
    </w:lvl>
  </w:abstractNum>
  <w:abstractNum w:abstractNumId="1">
    <w:nsid w:val="FDA8E26F"/>
    <w:multiLevelType w:val="singleLevel"/>
    <w:tmpl w:val="FDA8E26F"/>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hZmRlZmY3NTBiYzJkY2ZiMDIzMzQ3ZmI1N2RjNjgifQ=="/>
  </w:docVars>
  <w:rsids>
    <w:rsidRoot w:val="3DA224A3"/>
    <w:rsid w:val="0002507B"/>
    <w:rsid w:val="00140F95"/>
    <w:rsid w:val="002C582B"/>
    <w:rsid w:val="00331BB0"/>
    <w:rsid w:val="003441B6"/>
    <w:rsid w:val="003B7C4A"/>
    <w:rsid w:val="003C1D53"/>
    <w:rsid w:val="004B73C9"/>
    <w:rsid w:val="004F64F3"/>
    <w:rsid w:val="005B63D3"/>
    <w:rsid w:val="005D36DB"/>
    <w:rsid w:val="00607E8F"/>
    <w:rsid w:val="0063029E"/>
    <w:rsid w:val="00631149"/>
    <w:rsid w:val="00683AFD"/>
    <w:rsid w:val="00687557"/>
    <w:rsid w:val="007259AD"/>
    <w:rsid w:val="007863EA"/>
    <w:rsid w:val="007E6DC9"/>
    <w:rsid w:val="008C1843"/>
    <w:rsid w:val="00905764"/>
    <w:rsid w:val="00925F8D"/>
    <w:rsid w:val="009867D5"/>
    <w:rsid w:val="00A32AB8"/>
    <w:rsid w:val="00A77BDD"/>
    <w:rsid w:val="00A8055F"/>
    <w:rsid w:val="00AC6753"/>
    <w:rsid w:val="00B35BE2"/>
    <w:rsid w:val="00B453EA"/>
    <w:rsid w:val="00B625F3"/>
    <w:rsid w:val="00C333AC"/>
    <w:rsid w:val="00C91543"/>
    <w:rsid w:val="00D46E85"/>
    <w:rsid w:val="00D540F5"/>
    <w:rsid w:val="00D851A1"/>
    <w:rsid w:val="00DB4F9B"/>
    <w:rsid w:val="00E2022B"/>
    <w:rsid w:val="01176237"/>
    <w:rsid w:val="01B322BA"/>
    <w:rsid w:val="020B07BA"/>
    <w:rsid w:val="03172BEC"/>
    <w:rsid w:val="03FE7EAB"/>
    <w:rsid w:val="04657F2A"/>
    <w:rsid w:val="04844854"/>
    <w:rsid w:val="053A4F12"/>
    <w:rsid w:val="05A94B4C"/>
    <w:rsid w:val="05EB065B"/>
    <w:rsid w:val="061340E1"/>
    <w:rsid w:val="067A7CBC"/>
    <w:rsid w:val="0696086E"/>
    <w:rsid w:val="06CE0008"/>
    <w:rsid w:val="073A38EF"/>
    <w:rsid w:val="07BE62CF"/>
    <w:rsid w:val="088210AA"/>
    <w:rsid w:val="09AC60FC"/>
    <w:rsid w:val="09CD0A4B"/>
    <w:rsid w:val="0A3665F0"/>
    <w:rsid w:val="0A621193"/>
    <w:rsid w:val="0A854E82"/>
    <w:rsid w:val="0AD32091"/>
    <w:rsid w:val="0CAA5073"/>
    <w:rsid w:val="0CC46135"/>
    <w:rsid w:val="0CE51C08"/>
    <w:rsid w:val="0E774872"/>
    <w:rsid w:val="0EB43F87"/>
    <w:rsid w:val="10EC7A09"/>
    <w:rsid w:val="11341FB3"/>
    <w:rsid w:val="11D24E50"/>
    <w:rsid w:val="11F34DC7"/>
    <w:rsid w:val="123A0C48"/>
    <w:rsid w:val="12413CE6"/>
    <w:rsid w:val="127952CC"/>
    <w:rsid w:val="130E3FF7"/>
    <w:rsid w:val="1336140F"/>
    <w:rsid w:val="13B14F39"/>
    <w:rsid w:val="13B55DD4"/>
    <w:rsid w:val="15553A92"/>
    <w:rsid w:val="185452CD"/>
    <w:rsid w:val="197902A7"/>
    <w:rsid w:val="1A3C6FB8"/>
    <w:rsid w:val="1A966B12"/>
    <w:rsid w:val="1C8F393E"/>
    <w:rsid w:val="1D9C6D19"/>
    <w:rsid w:val="1E036D40"/>
    <w:rsid w:val="1E8F3428"/>
    <w:rsid w:val="1EC10726"/>
    <w:rsid w:val="20B147CB"/>
    <w:rsid w:val="20EE50D7"/>
    <w:rsid w:val="21C4408A"/>
    <w:rsid w:val="222762BA"/>
    <w:rsid w:val="22A2261D"/>
    <w:rsid w:val="23040BE2"/>
    <w:rsid w:val="23220A3C"/>
    <w:rsid w:val="23922691"/>
    <w:rsid w:val="23983A20"/>
    <w:rsid w:val="24A41BBC"/>
    <w:rsid w:val="257B0F03"/>
    <w:rsid w:val="25873D4C"/>
    <w:rsid w:val="25E44CFA"/>
    <w:rsid w:val="26040EF9"/>
    <w:rsid w:val="26E331EE"/>
    <w:rsid w:val="28355CE1"/>
    <w:rsid w:val="28FE4325"/>
    <w:rsid w:val="2940493E"/>
    <w:rsid w:val="297939AC"/>
    <w:rsid w:val="2B033E75"/>
    <w:rsid w:val="2BF37A45"/>
    <w:rsid w:val="2D200D0E"/>
    <w:rsid w:val="2E903C71"/>
    <w:rsid w:val="2EB060C2"/>
    <w:rsid w:val="2ED973C6"/>
    <w:rsid w:val="2EFF4953"/>
    <w:rsid w:val="30EB1633"/>
    <w:rsid w:val="3443371D"/>
    <w:rsid w:val="34AF3AEE"/>
    <w:rsid w:val="34FD36E3"/>
    <w:rsid w:val="37A442EA"/>
    <w:rsid w:val="37C22626"/>
    <w:rsid w:val="37E97796"/>
    <w:rsid w:val="384855BD"/>
    <w:rsid w:val="388A783F"/>
    <w:rsid w:val="38D44F22"/>
    <w:rsid w:val="38D71E16"/>
    <w:rsid w:val="391060DB"/>
    <w:rsid w:val="39B27192"/>
    <w:rsid w:val="3A2636DC"/>
    <w:rsid w:val="3B506C62"/>
    <w:rsid w:val="3B5F50F7"/>
    <w:rsid w:val="3B64626A"/>
    <w:rsid w:val="3B8E778B"/>
    <w:rsid w:val="3C1E0B0E"/>
    <w:rsid w:val="3DA224A3"/>
    <w:rsid w:val="3E6F38A3"/>
    <w:rsid w:val="3F1E7077"/>
    <w:rsid w:val="3F3958F2"/>
    <w:rsid w:val="410E101C"/>
    <w:rsid w:val="412F10C8"/>
    <w:rsid w:val="42B54B4C"/>
    <w:rsid w:val="43747266"/>
    <w:rsid w:val="44BA15F0"/>
    <w:rsid w:val="45E01151"/>
    <w:rsid w:val="462F1B6A"/>
    <w:rsid w:val="4734568A"/>
    <w:rsid w:val="481334F1"/>
    <w:rsid w:val="4958385C"/>
    <w:rsid w:val="4B0D3201"/>
    <w:rsid w:val="4EF72DCF"/>
    <w:rsid w:val="4F974A08"/>
    <w:rsid w:val="4FC610E3"/>
    <w:rsid w:val="50597F0F"/>
    <w:rsid w:val="522A4C1E"/>
    <w:rsid w:val="529B480F"/>
    <w:rsid w:val="52A82A88"/>
    <w:rsid w:val="545509EE"/>
    <w:rsid w:val="554F18E1"/>
    <w:rsid w:val="561072C2"/>
    <w:rsid w:val="59396B30"/>
    <w:rsid w:val="597E25EB"/>
    <w:rsid w:val="5A92474A"/>
    <w:rsid w:val="5BA65130"/>
    <w:rsid w:val="5BDD7C46"/>
    <w:rsid w:val="5C3150FC"/>
    <w:rsid w:val="5C8D2F06"/>
    <w:rsid w:val="5D012014"/>
    <w:rsid w:val="5D8D744A"/>
    <w:rsid w:val="5E2F5B44"/>
    <w:rsid w:val="5E6C7060"/>
    <w:rsid w:val="5E9640DD"/>
    <w:rsid w:val="5EAB402C"/>
    <w:rsid w:val="5F447FDD"/>
    <w:rsid w:val="5F4B4EC7"/>
    <w:rsid w:val="5F6917F1"/>
    <w:rsid w:val="5FB52C88"/>
    <w:rsid w:val="606F574B"/>
    <w:rsid w:val="606F72DB"/>
    <w:rsid w:val="62E93375"/>
    <w:rsid w:val="63BC20FF"/>
    <w:rsid w:val="63F518A5"/>
    <w:rsid w:val="64CF659A"/>
    <w:rsid w:val="650E70C3"/>
    <w:rsid w:val="666B40A1"/>
    <w:rsid w:val="66996E60"/>
    <w:rsid w:val="67AC2BC3"/>
    <w:rsid w:val="68585345"/>
    <w:rsid w:val="689B6EBF"/>
    <w:rsid w:val="68C33D20"/>
    <w:rsid w:val="69B83AA1"/>
    <w:rsid w:val="6A3D7B02"/>
    <w:rsid w:val="6B1D005F"/>
    <w:rsid w:val="6CDC4ED7"/>
    <w:rsid w:val="6E7369A8"/>
    <w:rsid w:val="6EEA049C"/>
    <w:rsid w:val="6FFF0D00"/>
    <w:rsid w:val="704C4F43"/>
    <w:rsid w:val="709F32C5"/>
    <w:rsid w:val="71015D2D"/>
    <w:rsid w:val="716B31A7"/>
    <w:rsid w:val="719269B1"/>
    <w:rsid w:val="71F15DA2"/>
    <w:rsid w:val="72D1172F"/>
    <w:rsid w:val="73942E89"/>
    <w:rsid w:val="7492349C"/>
    <w:rsid w:val="751F2C26"/>
    <w:rsid w:val="76D51B06"/>
    <w:rsid w:val="771C566F"/>
    <w:rsid w:val="77562203"/>
    <w:rsid w:val="77996CC0"/>
    <w:rsid w:val="77E37F3B"/>
    <w:rsid w:val="784D7AAA"/>
    <w:rsid w:val="78AC2A23"/>
    <w:rsid w:val="7922447B"/>
    <w:rsid w:val="7A7632E8"/>
    <w:rsid w:val="7B1228E5"/>
    <w:rsid w:val="7B7D4202"/>
    <w:rsid w:val="7D2F2B3D"/>
    <w:rsid w:val="7E160389"/>
    <w:rsid w:val="7E2D63B4"/>
    <w:rsid w:val="7E5A082B"/>
    <w:rsid w:val="7FE81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widowControl/>
      <w:spacing w:line="240" w:lineRule="auto"/>
      <w:ind w:firstLine="420"/>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41"/>
    <w:basedOn w:val="9"/>
    <w:qFormat/>
    <w:uiPriority w:val="0"/>
    <w:rPr>
      <w:rFonts w:ascii="Segoe UI" w:hAnsi="Segoe UI" w:eastAsia="Segoe UI" w:cs="Segoe UI"/>
      <w:color w:val="000000"/>
      <w:sz w:val="22"/>
      <w:szCs w:val="22"/>
      <w:u w:val="none"/>
    </w:rPr>
  </w:style>
  <w:style w:type="character" w:customStyle="1" w:styleId="11">
    <w:name w:val="font01"/>
    <w:basedOn w:val="9"/>
    <w:qFormat/>
    <w:uiPriority w:val="0"/>
    <w:rPr>
      <w:rFonts w:ascii="Calibri" w:hAnsi="Calibri" w:cs="Calibri"/>
      <w:color w:val="000000"/>
      <w:sz w:val="22"/>
      <w:szCs w:val="22"/>
      <w:u w:val="none"/>
    </w:rPr>
  </w:style>
  <w:style w:type="character" w:customStyle="1" w:styleId="12">
    <w:name w:val="font11"/>
    <w:basedOn w:val="9"/>
    <w:qFormat/>
    <w:uiPriority w:val="0"/>
    <w:rPr>
      <w:rFonts w:hint="eastAsia" w:ascii="等线" w:hAnsi="等线" w:eastAsia="等线" w:cs="等线"/>
      <w:color w:val="000000"/>
      <w:sz w:val="22"/>
      <w:szCs w:val="22"/>
      <w:u w:val="none"/>
    </w:rPr>
  </w:style>
  <w:style w:type="character" w:customStyle="1" w:styleId="13">
    <w:name w:val="font81"/>
    <w:basedOn w:val="9"/>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4733</Words>
  <Characters>4991</Characters>
  <Lines>37</Lines>
  <Paragraphs>10</Paragraphs>
  <TotalTime>7</TotalTime>
  <ScaleCrop>false</ScaleCrop>
  <LinksUpToDate>false</LinksUpToDate>
  <CharactersWithSpaces>5109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2022-07-14T16:58:00Z</dcterms:created>
  <dc:creator>荔枝</dc:creator>
  <cp:lastModifiedBy>凤 梨</cp:lastModifiedBy>
  <cp:lastPrinted>2023-11-01T03:24:02Z</cp:lastPrinted>
  <dcterms:modified xsi:type="dcterms:W3CDTF">2023-11-01T03:27:26Z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C33D7265F6804E6C81FD67613AE0EE9F_13</vt:lpwstr>
  </property>
</Properties>
</file>