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bookmarkStart w:id="0" w:name="_GoBack"/>
      <w:r>
        <w:rPr>
          <w:rFonts w:hint="eastAsia" w:ascii="黑体" w:hAnsi="黑体" w:eastAsia="黑体" w:cs="黑体"/>
          <w:sz w:val="28"/>
          <w:szCs w:val="28"/>
          <w:lang w:val="en-US" w:eastAsia="zh-CN"/>
        </w:rPr>
        <w:t>附件2</w:t>
      </w:r>
    </w:p>
    <w:bookmarkEnd w:id="0"/>
    <w:p>
      <w:pPr>
        <w:jc w:val="center"/>
        <w:rPr>
          <w:rFonts w:hint="eastAsia" w:ascii="仿宋_GB2312" w:hAnsi="仿宋_GB2312" w:eastAsia="仿宋_GB2312" w:cs="仿宋_GB2312"/>
          <w:sz w:val="32"/>
          <w:szCs w:val="32"/>
          <w:lang w:val="en-US" w:eastAsia="zh-CN"/>
        </w:rPr>
      </w:pPr>
      <w:r>
        <w:rPr>
          <w:rFonts w:hint="eastAsia" w:ascii="方正大标宋简体" w:hAnsi="方正大标宋简体" w:eastAsia="方正大标宋简体" w:cs="方正大标宋简体"/>
          <w:sz w:val="44"/>
          <w:szCs w:val="44"/>
          <w:lang w:val="en-US" w:eastAsia="zh-CN"/>
        </w:rPr>
        <w:t>校外培训行政处罚暂行办法</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中华人民共和国教育部令第53号</w:t>
      </w:r>
    </w:p>
    <w:p>
      <w:p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《校外培训行政处罚暂行办法》已经2023年7月20日教育部部务会议审议通过，现予公布，自2023年10月15日起施行。</w:t>
      </w:r>
    </w:p>
    <w:p>
      <w:pPr>
        <w:jc w:val="righ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教育部部长 怀进鹏</w:t>
      </w:r>
    </w:p>
    <w:p>
      <w:pPr>
        <w:jc w:val="right"/>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2023年8月23日</w:t>
      </w:r>
    </w:p>
    <w:p>
      <w:pPr>
        <w:jc w:val="center"/>
        <w:rPr>
          <w:rFonts w:hint="eastAsia" w:ascii="方正大标宋简体" w:hAnsi="方正大标宋简体" w:eastAsia="方正大标宋简体" w:cs="方正大标宋简体"/>
          <w:sz w:val="36"/>
          <w:szCs w:val="36"/>
          <w:lang w:val="en-US" w:eastAsia="zh-CN"/>
        </w:rPr>
      </w:pPr>
    </w:p>
    <w:p>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校外培训行政处罚暂行办法</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第一章 总则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第一条 为落实立德树人根本任务，发展素质教育，加强校外培训监管，规范校外培训行政处罚行为，保护自然人、法人和其他组织的合法权益，根据《中华人民共和国行政处罚法》《中华人民共和国未成年人保护法》《中华人民共和国民办教育促进法》《中华人民共和国民办教育促进法实施条例》等有关法律、行政法规，制定本办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第二条 自然人、法人或者其他组织面向社会招收3周岁以上学龄前儿童、中小学生，违法开展校外培训，应当给予行政处罚的，适用本办法。</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第三条 实施校外培训行政处罚，应当遵循公正、公开的原则，坚持处罚与教育相结合、宽严相济，做到事实清楚、证据确凿、依据正确、程序合法、处罚适当。</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第四条 对实施行政处罚过程中知悉的国家秘密、商业秘密和个人隐私，应当依法予以保密；为履行法定职责处理个人信息，应当依照法律、法规规定的权限、程序进行，不得超出履行法定职责所必需的范围和限度。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第五条 校外培训行政处罚的种类包括：</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（一）警告、通报批评；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（二）罚款、没收违法所得、没收非法财物；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（三）责令停止招收学员；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（四）责令停止举办；</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（五）吊销许可证件；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（六）限制从业；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（七）法律、行政法规规定的其他行政处罚。</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第二章 实施机关、管辖和适用</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第六条 校外培训行政处罚由县级以上人民政府校外培训主管部门依法按照行政处罚权限实施。校外培训主管部门由省级人民政府根据国家有关规定确定。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校外培训行政处罚由综合行政执法部门实施的，校外培训主管部门应当与综合行政执法部门建立行政执法信息互联互通、执法过程协作配合、执法结果及时反馈的工作机制。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校外培训行政处罚由乡镇人民政府、街道办事处实施的，县级校外培训主管部门应当加强对乡镇街道校外培训行政处罚工作的组织协调、业务指导、执法监督。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第七条 校外培训主管部门可以在法定权限内书面委托符合行政处罚法规定条件的组织实施行政处罚。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委托书应当载明委托的具体事项、权限、期限等内容，并应当将委托书向社会公布。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委托行政机关应当对受委托组织实施行政处罚的行为进行监督，并对该行为的后果承担法律责任。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受委托组织在委托范围内，以委托行政机关的名义实施行政处罚；不得再委托其他任何组织或者个人实施行政处罚。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第八条 对线下校外培训违法行为的行政处罚，由违法行为发生地县级人民政府校外培训主管部门管辖。违法行为发生地与机构审批地不一致的，机构审批地有关部门应当依法予以协助。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第九条 对经审批的线上校外培训机构违法行为的行政处罚，由机构审批机关管辖；对未经审批进行线上校外培训活动的行政处罚，由违法主体所在地省级人民政府校外培训主管部门管辖。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违法行为发生地省级人民政府校外培训主管部门先行发现线上校外培训违法线索或者收到投诉、举报的，也可以进行管辖，机构审批地或者违法主体所在地校外培训主管部门应当依法予以协助。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第十条 两个以上校外培训主管部门对同一个校外培训违法行为都有管辖权的，由最先立案的校外培训主管部门管辖。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对管辖发生争议的，应当协商解决，协商不成的，报请共同的上一级校外培训主管部门或者同级人民政府指定管辖；也可以直接由共同的上一级校外培训主管部门指定管辖。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主管部门发现立案查处的案件不属于本部门管辖的，应当将案件移送有管辖权的校外培训主管部门。受移送的校外培训主管部门对管辖权有异议的，应当报请共同的上一级校外培训主管部门或者同级人民政府指定管辖，不得再自行移送。</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第十一条 上级人民政府校外培训主管部门有权直接查处下级部门管辖的校外培训违法案件。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上级人民政府校外培训主管部门可以将某个下级部门管辖的校外培训违法案件指定其他下级人民政府校外培训主管部门管辖。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第十二条 地方各级人民政府校外培训主管部门发现校外培训违法行为涉嫌违反治安管理、出入境管理等法律法规的，应当及时移送公安机关予以处罚；涉嫌犯罪的，应当及时按照有关规定移送司法机关，依法追究刑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第十三条 对当事人的同一个校外培训违法行为，不得给予两次以上罚款的行政处罚。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同一个校外培训违法行为违反多个法律规范，应当给予罚款处罚的，按照罚款数额高的规定处罚。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第十四条 当事人有下列情形之一，应当从轻或者减轻行政处罚：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（一）主动消除或者减轻违法行为危害后果的；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（二）受他人胁迫或者诱骗实施违法行为的；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（三）主动供述校外培训主管部门尚未掌握的违法行为的；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（四）配合校外培训主管部门查处违法行为有立功表现的；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（五）法律、法规、规章规定其他应当从轻或者减轻行政处罚的。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第十五条 当事人有下列情形之一的，不予处罚，但应当对其进行教育：</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（一）校外培训违法行为轻微并及时改正，没有造成危害后果的；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（二）当事人有证据足以证明没有主观过错的；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（三）违法行为已经超过给予行政处罚的法定期限的；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（四）法律、法规、规章规定的其他不予处罚情形。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初次违法且危害后果轻微并及时改正的，可以不予处罚。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第十六条 当事人有下列情形之一，应当依法从重处罚：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（一）实施校外培训违法行为被处理后两年内再次实施校外培训违法行为的；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（二）危害后果严重，造成严重恶劣社会影响的；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（三）同时违反突发事件应对措施的；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（四）伪造、涂改或者转移、销毁证据的；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（五）拒绝、阻碍或者以暴力威胁行政执法人员执法的；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（六）属于中小学在职教师且培训内容为学科类校外培训的；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（七）法律、法规、规章规定其他应当从重处罚的。</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第三章 违法行为和法律责任</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第十七条 自然人、法人或者其他组织未经审批开展校外培训，同时符合下列条件的，构成擅自举办校外培训机构，由所在地县级人民政府校外培训主管部门会同同级公安、民政或者市场监督管理等有关部门责令停止举办、退还所收费用，并对举办者处违法所得一倍以上五倍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（一）线下培训有专门的培训场所，线上培训有特定的网站或者应用程序；</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（二）有2名以上培训从业人员；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（三）有相应的组织机构和分工。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第十八条 自然人、法人或者其他组织变相开展学科类校外培训，尚不符合本办法第十七条规定条件，有下列行为之一的，由所在地县级以上人民政府校外培训主管部门会同其他有关部门责令改正，退还所收费用，予以警告或通报批评；情节严重的，处5万元以下罚款；情节特别严重的，处5万元以上10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（一）通过即时通讯、网络会议、直播平台等方式有偿开展校外培训的；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（二）利用居民楼、酒店、咖啡厅等场所有偿组织开展“一对一”“一对多”等校外培训的；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（三）以咨询、文化传播、素质拓展、竞赛、思维训练、家政服务、家庭教育指导、住家教师、众筹私教、游学、研学、冬夏令营、托管等名义有偿开展校外培训的；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（四）其他未经审批开展学科类校外培训，尚不符合本办法第十七条规定条件的。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第十九条 自然人、法人或者其他组织知道或者应当知道违法校外培训活动的情况存在，仍为其开展校外培训提供场所的，由县级以上人民政府校外培训主管部门会同其他有关部门责令限期改正；逾期拒不改正的，予以警告或者通报批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网络平台运营者知道或者应当知道其用户通过即时通讯、网络会议、直播平台等方式违法开展线上校外培训，仍为其提供服务的，适用前款规定处理。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第二十条 校外培训机构超出办学许可范围，有下列行为之一的，由县级以上人民政府校外培训主管部门或者其他有关部门责令限期改正，并予以警告；有违法所得的，退还所收费用后没收违法所得；情节严重的，责令停止招收学员、吊销许可证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（一）线下培训机构开展线上校外培训的，但是以现代信息技术辅助开展培训活动的除外；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（二）线上培训机构开展线下校外培训的；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（三）非学科类培训机构开展学科类校外培训的；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（四）学科类培训机构开展非学科类校外培训的；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（五）其他超出办学许可范围开展培训活动的。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第二十一条 校外培训机构违反法律、行政法规和国家有关规定开展培训活动，有下列行为之一的，由县级以上人民政府校外培训主管部门或者其他有关部门责令限期改正，并予以警告；有违法所得的，退还所收费用后没收违法所得；情节严重的，责令停止招收学员、吊销许可证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（一）违背国家教育方针，偏离社会主义办学方向，阻碍国家教育制度实施的；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（二）培训内容违反法律法规和国务院校外培训主管部门有关规定，影响未成年人身心健康的；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（三）超前超标开展学科类培训的；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（四）培训时间违反法律法规和国务院校外培训主管部门有关规定的；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（五）其他违反法律、行政法规和国家有关规定开展培训活动的。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校外培训机构有前款第（一）（二）项规定行为的，从重处罚。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第二十二条 校外培训机构管理混乱，有下列行为之一的，由县级以上人民政府校外培训主管部门或者其他有关部门责令限期改正，并予以警告；有违法所得的，退还所收费用后没收违法所得；情节严重的，责令停止招收学员、吊销许可证件：</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（一）与中小学联合招生等违反规定招收学员的；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（二）校外培训机构从业人员的聘任与管理违反法律、法规和国务院校外培训主管部门有关规定的；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（三）校外培训机构收费价格、收费行为、预收费管理等违反法律法规和国务院相关部门有关规定的；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（四）线上校外培训包含与培训无关的网络游戏内容及链接的；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（五）线上校外培训未按照国务院校外培训主管部门有关规定留存培训内容、培训数据、直播培训影像的；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（六）校外培训机构违法违规发布广告的；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（七）其他管理混乱严重影响教育教学的。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校外培训机构有前款第（一）项规定行为的，从重处罚。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第二十三条 校外培训机构擅自组织或者参与组织面向3周岁以上学龄前儿童、中小学生的社会性竞赛活动，由县级以上人民政府教育行政部门会同其他有关部门责令改正，退还所收费用，予以警告或者通报批评；情节严重的，处5万元以下罚款；情节特别严重的，处5万元以上10万元以下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第二十四条 校外培训机构有本办法第二十条、第二十一条、第二十二条规定行为的，校外培训主管部门或者其他有关部门可以对其决策机构负责人、行政负责人及直接责任人予以警告；情节严重的，依据民办教育促进法实施条例第六十四条规定，对有关责任人员给予限制从业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第二十五条 校外培训机构举办者及实际控制人、决策机构或者监督机构组成人员违反民办教育促进法实施条例第六十二条的，由县级以上人民政府校外培训主管部门或者其他有关部门依据职责分工责令限期改正，有违法所得的，退还所收费用后没收违法所得；情节严重的，依据民办教育促进法实施条例第六十二条规定，给予限制从业处罚。</w:t>
      </w:r>
    </w:p>
    <w:p>
      <w:pPr>
        <w:jc w:val="center"/>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第四章 处罚程序和执行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第二十六条 校外培训主管部门发现涉嫌违反校外培训有关法律、法规和规章行为的，应当进行初步审查，同时符合下列条件的，应当予以立案：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（一）有明确的违法当事人；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（二）有证据初步证明存在违法事实；</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（三）依法应当给予行政处罚；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（四）属于本部门管辖；</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（五）在给予行政处罚的法定期限内。</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立案应当填写立案审批表，报本部门负责人审批。</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第二十七条 对于已经立案的案件，经调查发现不符合本办法第二十六条规定的立案条件的，校外培训主管部门应当撤销立案。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第二十八条 校外培训主管部门应当全面、客观、公正地调查，收集有关证据，制作调查笔录、询问笔录等，在调查过程中可行使下列职权：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（一）对当事人涉嫌开展违法活动的场所实施现场调查；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（二）询问当事人或者有关人员；</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（三）查阅、复制与涉嫌违法培训有关的合同、票据、账簿、广告、宣传资料、花名册和其他有关资料；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（四）在证据可能灭失或者以后难以取得的情况下，经校外培训主管部门负责人批准，可先行登记保存，并应当在七日内及时作出处理决定；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（五）法律、法规规定的其他职权。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第二十九条 拟给予行政处罚的案件，在作出行政处罚决定前，校外培训主管部门应当书面告知当事人拟作出的行政处罚内容及事实、理由、依据，并告知当事人依法享有的陈述权、申辩权。</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当事人提出陈述、申辩意见的，校外培训主管部门应当充分听取当事人的意见，对当事人提出的事实、理由和证据进行复核，当事人提出的事实、理由或者证据成立的，校外培训主管部门应当采纳。</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第三十条 校外培训主管部门拟作出下列行政处罚决定的，应当告知当事人有要求听证的权利：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（一）对自然人处3万元以上、对法人或者其他组织处10万元以上的罚款；</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（二）没收10万元以上违法所得；</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（三）本办法第五条第（三）（四）（五）（六）项行政处罚；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（四）法律、法规、规章规定的其他情形。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事人依法要求听证的，应当自告知书送达之日起五日内提出，由校外培训主管部门负责法制审核的机构按照行政处罚法等相关法律法规规定的程序组织听证程序。听证结束后，校外培训主管部门应当根据听证笔录，依法作出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第三十一条 当事人自告知书送达之日起五日内，未行使陈述、申辩权，视为放弃此权利。</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第三十二条 校外培训主管部门在作出行政处罚决定前，应当责令当事人限期改正，当事人及时改正并积极消除危害后果的，可以依法从轻、减轻或者免予处罚。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第三十三条 有下列情形之一，在行政机关负责人作出行政处罚的决定前，应当由校外培训主管部门负责法制审核的机构进行法制审核，未经法制审核或者审核未通过的，不得作出决定：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（一）涉及重大公共利益的；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（二）直接关系当事人或者第三人重大权益，经过听证程序的；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（三）案件情况疑难复杂、涉及多个法律关系的；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（四）法律、法规规定应当进行法制审核的其他情形。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前款第二项规定的案件，应当在听证程序结束后进行法制审核。</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第三十四条 调查终结，校外培训主管部门负责人应当对调查结果进行审查，根据行政处罚法的规定作出决定。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对本办法第三十三条规定的情形以及其他情节复杂或者重大违法行为给予行政处罚，校外培训主管部门负责人应当在行政处罚事先告知书作出之前集体讨论决定。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校外培训主管部门作出行政处罚决定，应当制作行政处罚决定书，行政处罚决定书应当根据行政处罚法的规定载明有关内容，并加盖本部门印章。</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第三十五条 行政处罚决定书应当在宣告后当场交付当事人；当事人不在场的，应当在七日内依照民事诉讼法的有关规定送达当事人。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当事人同意并签订确认书的，校外培训主管部门可以采用传真、电子邮件等方式，将行政处罚决定书等送达当事人。</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当事人下落不明，或者依照民事诉讼法规定的其他方式无法送达的，可以公告送达。自发出公告之日起，经过三十日，即视为送达。公告送达，应当在案卷中记明原因和经过。</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第三十六条 行政处罚决定书送达后当事人在法定期限内不申请行政复议或者提起行政诉讼，又不履行处罚决定的，校外培训主管部门可以自期限届满之日起三个月内依法申请人民法院强制执行。</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第三十七条 行政处罚有下列情形之一的，经校外培训主管部门负责人批准，案件结案：</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（一）处罚决定执行完毕的；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（二）已依法申请人民法院强制执行的；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（三）案件终止调查的；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（四）其他应当结案的情形。</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行政处罚案件材料应当按照有关法律法规和档案管理规定归档保存。</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第五章 执法监督</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第三十八条 校外培训主管部门应当建立执法监督制度。</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上级校外培训主管部门应当加强对下级校外培训主管部门行政处罚工作的指导。</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具有一定社会影响的校外培训行政处罚决定应当依法向社会公开。</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第三十九条 对于重大违法案件，上级校外培训主管部门可以挂牌督办，提出办理要求，督促下级部门限期办理。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第四十条 县级以上人民政府校外培训主管部门应当建立违法案件统计报告制度，定期将本行政区域内的校外培训违法形势分析、案件发生情况、查处情况等逐级上报。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第四十一条 校外培训主管部门实施校外培训行政处罚，有下列情形之一的，由有关部门对直接负责的主管人员和其他直接责任人员依法给予处分：</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（一）对违法行为未依法采取制止措施的；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（二）应当依法给予行政处罚而未依法处罚的；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（三）应当依法申请强制执行、移送有关机关追究责任，而未依法申请强制执行、移送有关机关的；</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（四）有行政处罚法、民办教育促进法等法律法规规定的其他超越职权、滥用职权、徇私舞弊、玩忽职守情形的。</w:t>
      </w:r>
    </w:p>
    <w:p>
      <w:pPr>
        <w:jc w:val="cente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第六章 附则</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第四十二条 本办法中的“违法所得”是指违法开展校外培训所收取的全部款项，依法已经予以退还的预收费未消课款项，可以扣除。法律、行政法规、规章对违法所得的计算另有规定的，从其规定。</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第四十三条 本办法中“以上”“以下”含本数，“五日”“七日”的规定是指工作日，不含法定节假日。</w:t>
      </w:r>
    </w:p>
    <w:p>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第四十四条 本办法自2023年10月15日起施行。</w:t>
      </w:r>
    </w:p>
    <w:p>
      <w:pPr>
        <w:pStyle w:val="2"/>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OGYxYTFmZDBkYzliYzM2Njg2NzhiZmU4M2Y1YTQifQ=="/>
  </w:docVars>
  <w:rsids>
    <w:rsidRoot w:val="28B93DF5"/>
    <w:rsid w:val="28B93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20" w:lineRule="exact"/>
      <w:jc w:val="center"/>
    </w:pPr>
    <w:rPr>
      <w:rFonts w:ascii="Times New Roman" w:hAnsi="Times New Roman" w:cs="Times New Roman"/>
      <w:szCs w:val="24"/>
      <w:lang w:bidi="ar-SA"/>
    </w:rPr>
  </w:style>
  <w:style w:type="paragraph" w:styleId="3">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2023-10-09T02:49:00Z</dcterms:created>
  <dc:creator>勇文之帅</dc:creator>
  <cp:lastModifiedBy>勇文之帅</cp:lastModifiedBy>
  <dcterms:modified xsi:type="dcterms:W3CDTF">2023-10-09T02:50:01Z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9F4FCCFCFAF7467B85FBF77CC49F2662_11</vt:lpwstr>
  </property>
</Properties>
</file>