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63" w:firstLineChars="1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年廉江市本级“五公”经费</w:t>
      </w:r>
    </w:p>
    <w:p>
      <w:pPr>
        <w:spacing w:line="480" w:lineRule="auto"/>
        <w:ind w:firstLine="663" w:firstLineChars="1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预算情况</w:t>
      </w:r>
    </w:p>
    <w:p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年，市本级“五公”经费预算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1677</w:t>
      </w:r>
      <w:r>
        <w:rPr>
          <w:rFonts w:hint="eastAsia" w:ascii="仿宋_GB2312" w:eastAsia="仿宋_GB2312"/>
          <w:sz w:val="32"/>
          <w:szCs w:val="32"/>
        </w:rPr>
        <w:t>万元，比去年减少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</w:rPr>
        <w:t>万元。其中：因公出国（境）经费不安排；公务接待费2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0万元，比上年减少安排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0万元；公务用车购置及运行维护费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减少安排70万元</w:t>
      </w:r>
      <w:r>
        <w:rPr>
          <w:rFonts w:hint="eastAsia" w:ascii="仿宋_GB2312" w:eastAsia="仿宋_GB2312"/>
          <w:sz w:val="32"/>
          <w:szCs w:val="32"/>
        </w:rPr>
        <w:t>；会议费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减少7万元</w:t>
      </w:r>
      <w:r>
        <w:rPr>
          <w:rFonts w:hint="eastAsia" w:ascii="仿宋_GB2312" w:eastAsia="仿宋_GB2312"/>
          <w:sz w:val="32"/>
          <w:szCs w:val="32"/>
        </w:rPr>
        <w:t>；培训费3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Q5NTU5M2E4NWMyNzUwMGQxNWU5ZjRmZjc0ZGIifQ=="/>
  </w:docVars>
  <w:rsids>
    <w:rsidRoot w:val="00000000"/>
    <w:rsid w:val="15C17E65"/>
    <w:rsid w:val="21AE181F"/>
    <w:rsid w:val="7540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4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2022-04-29T07:31:00Z</dcterms:created>
  <dc:creator>HP</dc:creator>
  <cp:lastModifiedBy>HP</cp:lastModifiedBy>
  <dcterms:modified xsi:type="dcterms:W3CDTF">2023-04-04T03:11:18Z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CC30F312421541229AF44EB6BF7D2B80</vt:lpwstr>
  </property>
</Properties>
</file>