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312" w:afterLines="100" w:afterAutospacing="0" w:line="560" w:lineRule="exact"/>
        <w:ind w:left="0" w:right="0"/>
        <w:jc w:val="left"/>
        <w:rPr>
          <w:rFonts w:hint="eastAsia" w:cs="宋体"/>
          <w:b/>
          <w:bCs w:val="0"/>
          <w:kern w:val="0"/>
          <w:sz w:val="40"/>
          <w:szCs w:val="40"/>
          <w:lang w:eastAsia="zh-CN"/>
        </w:rPr>
      </w:pPr>
    </w:p>
    <w:p>
      <w:pPr>
        <w:spacing w:line="600" w:lineRule="exact"/>
        <w:jc w:val="left"/>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lang w:eastAsia="zh-CN"/>
        </w:rPr>
        <w:t>附件</w:t>
      </w:r>
      <w:r>
        <w:rPr>
          <w:rFonts w:hint="eastAsia" w:ascii="黑体" w:hAnsi="黑体" w:eastAsia="黑体" w:cs="黑体"/>
          <w:bCs/>
          <w:color w:val="000000"/>
          <w:sz w:val="32"/>
          <w:szCs w:val="32"/>
          <w:lang w:val="en-US" w:eastAsia="zh-CN"/>
        </w:rPr>
        <w:t>3</w:t>
      </w:r>
    </w:p>
    <w:p>
      <w:pPr>
        <w:pStyle w:val="2"/>
        <w:keepNext w:val="0"/>
        <w:keepLines w:val="0"/>
        <w:widowControl/>
        <w:suppressLineNumbers w:val="0"/>
        <w:spacing w:before="0" w:beforeAutospacing="0" w:after="312" w:afterLines="100" w:afterAutospacing="0" w:line="560" w:lineRule="exact"/>
        <w:ind w:right="0" w:firstLine="1205" w:firstLineChars="300"/>
        <w:jc w:val="both"/>
      </w:pPr>
      <w:bookmarkStart w:id="0" w:name="_GoBack"/>
      <w:r>
        <w:rPr>
          <w:rFonts w:hint="eastAsia" w:ascii="Calibri" w:hAnsi="Calibri" w:eastAsia="宋体" w:cs="宋体"/>
          <w:b/>
          <w:bCs w:val="0"/>
          <w:kern w:val="0"/>
          <w:sz w:val="40"/>
          <w:szCs w:val="40"/>
        </w:rPr>
        <w:t>化工和危险化学品生产经营单位</w:t>
      </w:r>
    </w:p>
    <w:p>
      <w:pPr>
        <w:pStyle w:val="2"/>
        <w:keepNext w:val="0"/>
        <w:keepLines w:val="0"/>
        <w:widowControl/>
        <w:suppressLineNumbers w:val="0"/>
        <w:spacing w:before="0" w:beforeAutospacing="0" w:after="312" w:afterLines="100" w:afterAutospacing="0" w:line="560" w:lineRule="exact"/>
        <w:ind w:left="0" w:right="0"/>
        <w:jc w:val="center"/>
      </w:pPr>
      <w:r>
        <w:rPr>
          <w:rFonts w:hint="eastAsia" w:ascii="Calibri" w:hAnsi="Calibri" w:eastAsia="宋体" w:cs="宋体"/>
          <w:b/>
          <w:bCs w:val="0"/>
          <w:kern w:val="0"/>
          <w:sz w:val="40"/>
          <w:szCs w:val="40"/>
        </w:rPr>
        <w:t>重大生产安全事故隐患判定标准（试行）</w:t>
      </w:r>
    </w:p>
    <w:bookmarkEnd w:id="0"/>
    <w:p>
      <w:pPr>
        <w:pStyle w:val="2"/>
        <w:keepNext w:val="0"/>
        <w:keepLines w:val="0"/>
        <w:widowControl/>
        <w:suppressLineNumbers w:val="0"/>
        <w:shd w:val="clear" w:color="auto" w:fill="FFFFFF"/>
        <w:spacing w:before="0" w:beforeAutospacing="0" w:after="312" w:afterLines="100" w:afterAutospacing="0" w:line="560" w:lineRule="exact"/>
        <w:ind w:left="0" w:right="0" w:firstLine="640" w:firstLineChars="200"/>
        <w:jc w:val="left"/>
        <w:rPr>
          <w:rFonts w:hint="eastAsia" w:ascii="仿宋" w:hAnsi="仿宋" w:eastAsia="仿宋" w:cs="仿宋"/>
        </w:rPr>
      </w:pPr>
      <w:r>
        <w:rPr>
          <w:rFonts w:hint="eastAsia" w:ascii="仿宋" w:hAnsi="仿宋" w:eastAsia="仿宋" w:cs="仿宋"/>
          <w:color w:val="000000"/>
          <w:kern w:val="0"/>
          <w:sz w:val="32"/>
          <w:szCs w:val="32"/>
          <w:shd w:val="clear" w:color="auto" w:fill="FFFFFF"/>
        </w:rPr>
        <w:t>依据有关法律法规、部门规章和国家标准，以下情形应当判定为重大事故隐患：</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313" w:afterLines="100" w:afterAutospacing="0" w:line="120" w:lineRule="auto"/>
        <w:ind w:left="0" w:leftChars="0" w:right="0" w:rightChars="0" w:firstLine="64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32"/>
          <w:szCs w:val="32"/>
          <w:shd w:val="clear" w:color="auto" w:fill="FFFFFF"/>
        </w:rPr>
        <w:t>一、危险化学品生产、经营单位主要负责人和安全生产管理人员未依法经考核合格。</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313" w:afterLines="100" w:afterAutospacing="0" w:line="120" w:lineRule="auto"/>
        <w:ind w:left="0" w:leftChars="0" w:right="0" w:rightChars="0" w:firstLine="64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32"/>
          <w:szCs w:val="32"/>
          <w:shd w:val="clear" w:color="auto" w:fill="FFFFFF"/>
        </w:rPr>
        <w:t>二、特种作业人员未持证上岗。</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313" w:afterLines="100" w:afterAutospacing="0" w:line="120" w:lineRule="auto"/>
        <w:ind w:left="0" w:leftChars="0" w:right="0" w:rightChars="0" w:firstLine="64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32"/>
          <w:szCs w:val="32"/>
          <w:shd w:val="clear" w:color="auto" w:fill="FFFFFF"/>
        </w:rPr>
        <w:t>三、涉及“两重点一重大”的生产装置、储存设施外部安全防护距离不符合国家标准要求。</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313" w:afterLines="100" w:afterAutospacing="0" w:line="120" w:lineRule="auto"/>
        <w:ind w:left="0" w:leftChars="0" w:right="0" w:rightChars="0" w:firstLine="64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32"/>
          <w:szCs w:val="32"/>
          <w:shd w:val="clear" w:color="auto" w:fill="FFFFFF"/>
        </w:rPr>
        <w:t>四、涉及重点监管危险化工工艺的装置未实现自动化控制，系统未实现紧急停车功能，装备的自动化控制系统、紧急停车系统未投入使用。</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313" w:afterLines="100" w:afterAutospacing="0" w:line="120" w:lineRule="auto"/>
        <w:ind w:left="0" w:leftChars="0" w:right="0" w:rightChars="0" w:firstLine="64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32"/>
          <w:szCs w:val="32"/>
          <w:shd w:val="clear" w:color="auto" w:fill="FFFFFF"/>
        </w:rPr>
        <w:t>五、构成一级、二级重大危险源的危险化学品罐区未实现紧急切断功能；涉及毒性气体、液化气体、剧毒液体的一级、二级重大危险源的危险化学品罐区未配备独立的安全仪表系统。</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313" w:afterLines="100" w:afterAutospacing="0" w:line="120" w:lineRule="auto"/>
        <w:ind w:left="0" w:leftChars="0" w:right="0" w:rightChars="0" w:firstLine="64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32"/>
          <w:szCs w:val="32"/>
          <w:shd w:val="clear" w:color="auto" w:fill="FFFFFF"/>
        </w:rPr>
        <w:t>六、全压力式液化烃储罐未按国家标准设置注水措施。</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313" w:afterLines="100" w:afterAutospacing="0" w:line="120" w:lineRule="auto"/>
        <w:ind w:left="0" w:leftChars="0" w:right="0" w:rightChars="0" w:firstLine="64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32"/>
          <w:szCs w:val="32"/>
          <w:shd w:val="clear" w:color="auto" w:fill="FFFFFF"/>
        </w:rPr>
        <w:t>七、液化烃、液氨、液氯等易燃易爆、有毒有害液化气体的充装未使用万向管道充装系统。</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313" w:afterLines="100" w:afterAutospacing="0" w:line="120" w:lineRule="auto"/>
        <w:ind w:left="0" w:leftChars="0" w:right="0" w:rightChars="0" w:firstLine="64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32"/>
          <w:szCs w:val="32"/>
          <w:shd w:val="clear" w:color="auto" w:fill="FFFFFF"/>
        </w:rPr>
        <w:t>八、光气、氯气等剧毒气体及硫化氢气体管道穿越除厂区</w:t>
      </w:r>
      <w:r>
        <w:rPr>
          <w:rFonts w:hint="eastAsia" w:ascii="仿宋" w:hAnsi="仿宋" w:eastAsia="仿宋" w:cs="仿宋"/>
          <w:color w:val="000000"/>
          <w:kern w:val="0"/>
          <w:sz w:val="32"/>
          <w:szCs w:val="32"/>
          <w:shd w:val="clear" w:color="auto" w:fill="FFFFFF"/>
          <w:lang w:val="en-US"/>
        </w:rPr>
        <w:t>(</w:t>
      </w:r>
      <w:r>
        <w:rPr>
          <w:rFonts w:hint="eastAsia" w:ascii="仿宋" w:hAnsi="仿宋" w:eastAsia="仿宋" w:cs="仿宋"/>
          <w:color w:val="000000"/>
          <w:kern w:val="0"/>
          <w:sz w:val="32"/>
          <w:szCs w:val="32"/>
          <w:shd w:val="clear" w:color="auto" w:fill="FFFFFF"/>
        </w:rPr>
        <w:t>包括化工园区、工业园区）外的公共区域。</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313" w:afterLines="100" w:afterAutospacing="0" w:line="120" w:lineRule="auto"/>
        <w:ind w:left="0" w:leftChars="0" w:right="0" w:rightChars="0" w:firstLine="64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32"/>
          <w:szCs w:val="32"/>
          <w:shd w:val="clear" w:color="auto" w:fill="FFFFFF"/>
        </w:rPr>
        <w:t>九、地区架空电力线路穿越生产区且不符合国家标准要求。</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313" w:afterLines="100" w:afterAutospacing="0" w:line="120" w:lineRule="auto"/>
        <w:ind w:left="0" w:leftChars="0" w:right="0" w:rightChars="0" w:firstLine="64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32"/>
          <w:szCs w:val="32"/>
          <w:shd w:val="clear" w:color="auto" w:fill="FFFFFF"/>
        </w:rPr>
        <w:t>十、在役化工装置未经正规设计且未进行安全设计诊断。</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313" w:afterLines="100" w:afterAutospacing="0" w:line="120" w:lineRule="auto"/>
        <w:ind w:left="0" w:leftChars="0" w:right="0" w:rightChars="0" w:firstLine="64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32"/>
          <w:szCs w:val="32"/>
          <w:shd w:val="clear" w:color="auto" w:fill="FFFFFF"/>
        </w:rPr>
        <w:t>十一、使用淘汰落后安全技术工艺、设备目录列出的工艺、设备。</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313" w:afterLines="100" w:afterAutospacing="0" w:line="120" w:lineRule="auto"/>
        <w:ind w:left="0" w:leftChars="0" w:right="0" w:rightChars="0" w:firstLine="64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32"/>
          <w:szCs w:val="32"/>
          <w:shd w:val="clear" w:color="auto" w:fill="FFFFFF"/>
        </w:rPr>
        <w:t>十二、涉及可燃和有毒有害气体泄漏的场所未按国家标准设置检测报警装置，爆炸危险场所未按国家标准安装使用防爆电气设备。</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313" w:afterLines="100" w:afterAutospacing="0" w:line="120" w:lineRule="auto"/>
        <w:ind w:left="0" w:leftChars="0" w:right="0" w:rightChars="0" w:firstLine="64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32"/>
          <w:szCs w:val="32"/>
          <w:shd w:val="clear" w:color="auto" w:fill="FFFFFF"/>
        </w:rPr>
        <w:t>十三、控制室或机柜间面向具有火灾、爆炸危险性装置一侧不满足国家标准关于防火防爆的要求。</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313" w:afterLines="100" w:afterAutospacing="0" w:line="120" w:lineRule="auto"/>
        <w:ind w:left="0" w:leftChars="0" w:right="0" w:rightChars="0" w:firstLine="64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32"/>
          <w:szCs w:val="32"/>
          <w:shd w:val="clear" w:color="auto" w:fill="FFFFFF"/>
        </w:rPr>
        <w:t>十四、化工生产装置未按国家标准要求设置双重电源供电，自动化控制系统未设置不间断电源。</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313" w:afterLines="100" w:afterAutospacing="0" w:line="120" w:lineRule="auto"/>
        <w:ind w:left="0" w:leftChars="0" w:right="0" w:rightChars="0" w:firstLine="64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32"/>
          <w:szCs w:val="32"/>
          <w:shd w:val="clear" w:color="auto" w:fill="FFFFFF"/>
        </w:rPr>
        <w:t>十五、安全阀、爆破片等安全附件未正常投用。</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313" w:afterLines="100" w:afterAutospacing="0" w:line="120" w:lineRule="auto"/>
        <w:ind w:left="0" w:leftChars="0" w:right="0" w:rightChars="0" w:firstLine="64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32"/>
          <w:szCs w:val="32"/>
          <w:shd w:val="clear" w:color="auto" w:fill="FFFFFF"/>
        </w:rPr>
        <w:t>十六、未建立与岗位相匹配的全员安全生产责任制或者未制定实施生产安全事故隐患排查治理制度。</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313" w:afterLines="100" w:afterAutospacing="0" w:line="120" w:lineRule="auto"/>
        <w:ind w:left="0" w:leftChars="0" w:right="0" w:rightChars="0" w:firstLine="64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32"/>
          <w:szCs w:val="32"/>
          <w:shd w:val="clear" w:color="auto" w:fill="FFFFFF"/>
        </w:rPr>
        <w:t>十七、未制定操作规程和工艺控制指标。</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313" w:afterLines="100" w:afterAutospacing="0" w:line="120" w:lineRule="auto"/>
        <w:ind w:left="0" w:leftChars="0" w:right="0" w:rightChars="0" w:firstLine="64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32"/>
          <w:szCs w:val="32"/>
          <w:shd w:val="clear" w:color="auto" w:fill="FFFFFF"/>
        </w:rPr>
        <w:t>十八、未按照国家标准制定动火、进入受限空间等特殊作业管理制度，或者制度未有效执行。</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313" w:afterLines="100" w:afterAutospacing="0" w:line="120" w:lineRule="auto"/>
        <w:ind w:left="0" w:leftChars="0" w:right="0" w:rightChars="0" w:firstLine="64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32"/>
          <w:szCs w:val="32"/>
          <w:shd w:val="clear" w:color="auto" w:fill="FFFFFF"/>
        </w:rPr>
        <w:t>十九、新开发的危险化学品生产工艺未经小试、中试、工业化试验直接进行工业化生产；国内首次使用的化工工艺未经过省级人民政府有关部门组织的安全可靠性论证；新建装置未制定试生产方案投料开车；精细化工企业未按规范性文件要求开展反应安全风险评估。</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313" w:afterLines="100" w:afterAutospacing="0" w:line="120" w:lineRule="auto"/>
        <w:ind w:left="0" w:leftChars="0" w:right="0" w:rightChars="0" w:firstLine="64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32"/>
          <w:szCs w:val="32"/>
          <w:shd w:val="clear" w:color="auto" w:fill="FFFFFF"/>
        </w:rPr>
        <w:t>二十、未按国家标准分区分类储存危险化学品，超量、超品种储存危险化学品，相互禁配物质混放混存。</w:t>
      </w:r>
    </w:p>
    <w:p>
      <w:pPr>
        <w:rPr>
          <w:rFonts w:hint="eastAsia"/>
        </w:rPr>
      </w:pPr>
    </w:p>
    <w:p>
      <w:pPr>
        <w:pStyle w:val="2"/>
        <w:keepNext w:val="0"/>
        <w:keepLines w:val="0"/>
        <w:widowControl/>
        <w:suppressLineNumbers w:val="0"/>
        <w:spacing w:before="0" w:beforeAutospacing="0" w:after="312" w:afterLines="100" w:afterAutospacing="0" w:line="560" w:lineRule="exact"/>
        <w:ind w:left="0" w:right="0"/>
        <w:jc w:val="left"/>
        <w:rPr>
          <w:rFonts w:hint="eastAsia" w:cs="宋体"/>
          <w:b/>
          <w:bCs w:val="0"/>
          <w:kern w:val="0"/>
          <w:sz w:val="40"/>
          <w:szCs w:val="40"/>
          <w:lang w:eastAsia="zh-CN"/>
        </w:rPr>
      </w:pPr>
    </w:p>
    <w:p>
      <w:pPr>
        <w:pStyle w:val="2"/>
        <w:keepNext w:val="0"/>
        <w:keepLines w:val="0"/>
        <w:widowControl/>
        <w:suppressLineNumbers w:val="0"/>
        <w:spacing w:before="0" w:beforeAutospacing="0" w:after="312" w:afterLines="100" w:afterAutospacing="0" w:line="560" w:lineRule="exact"/>
        <w:ind w:left="0" w:right="0"/>
        <w:jc w:val="left"/>
        <w:rPr>
          <w:rFonts w:hint="eastAsia" w:cs="宋体"/>
          <w:b/>
          <w:bCs w:val="0"/>
          <w:kern w:val="0"/>
          <w:sz w:val="40"/>
          <w:szCs w:val="40"/>
          <w:lang w:eastAsia="zh-CN"/>
        </w:rPr>
      </w:pPr>
    </w:p>
    <w:p>
      <w:pPr>
        <w:pStyle w:val="2"/>
        <w:keepNext w:val="0"/>
        <w:keepLines w:val="0"/>
        <w:widowControl/>
        <w:suppressLineNumbers w:val="0"/>
        <w:spacing w:before="0" w:beforeAutospacing="0" w:after="312" w:afterLines="100" w:afterAutospacing="0" w:line="560" w:lineRule="exact"/>
        <w:ind w:left="0" w:right="0"/>
        <w:jc w:val="left"/>
        <w:rPr>
          <w:rFonts w:hint="eastAsia" w:cs="宋体"/>
          <w:b/>
          <w:bCs w:val="0"/>
          <w:kern w:val="0"/>
          <w:sz w:val="40"/>
          <w:szCs w:val="40"/>
          <w:lang w:eastAsia="zh-CN"/>
        </w:rPr>
      </w:pPr>
    </w:p>
    <w:p>
      <w:pPr>
        <w:pStyle w:val="2"/>
        <w:keepNext w:val="0"/>
        <w:keepLines w:val="0"/>
        <w:widowControl/>
        <w:suppressLineNumbers w:val="0"/>
        <w:spacing w:before="0" w:beforeAutospacing="0" w:after="312" w:afterLines="100" w:afterAutospacing="0" w:line="560" w:lineRule="exact"/>
        <w:ind w:left="0" w:right="0"/>
        <w:jc w:val="left"/>
        <w:rPr>
          <w:rFonts w:hint="eastAsia" w:cs="宋体"/>
          <w:b/>
          <w:bCs w:val="0"/>
          <w:kern w:val="0"/>
          <w:sz w:val="40"/>
          <w:szCs w:val="40"/>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16FC0"/>
    <w:rsid w:val="34C16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2017-12-28T08:53:00Z</dcterms:created>
  <dc:creator>耳东金木木</dc:creator>
  <cp:lastModifiedBy>耳东金木木</cp:lastModifiedBy>
  <dcterms:modified xsi:type="dcterms:W3CDTF">2017-12-28T08:54:23Z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