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720" w:lineRule="exact"/>
        <w:jc w:val="distribute"/>
        <w:rPr>
          <w:rFonts w:ascii="宋体" w:hAnsi="宋体" w:cs="Arial"/>
          <w:b/>
          <w:color w:val="FF0000"/>
          <w:spacing w:val="8"/>
          <w:kern w:val="0"/>
          <w:sz w:val="72"/>
          <w:szCs w:val="72"/>
        </w:rPr>
      </w:pPr>
    </w:p>
    <w:p>
      <w:pPr>
        <w:widowControl/>
        <w:spacing w:line="520" w:lineRule="exact"/>
        <w:jc w:val="distribute"/>
        <w:rPr>
          <w:rFonts w:ascii="黑体" w:hAnsi="宋体" w:eastAsia="黑体" w:cs="宋体"/>
          <w:kern w:val="0"/>
          <w:sz w:val="44"/>
          <w:szCs w:val="44"/>
        </w:rPr>
      </w:pPr>
    </w:p>
    <w:p>
      <w:pPr>
        <w:wordWrap w:val="0"/>
        <w:jc w:val="righ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粤高企协[201</w:t>
      </w:r>
      <w:r>
        <w:rPr>
          <w:rFonts w:hint="eastAsia" w:ascii="仿宋_GB2312" w:hAnsi="仿宋_GB2312" w:eastAsia="仿宋_GB2312" w:cs="仿宋_GB2312"/>
          <w:bCs/>
          <w:kern w:val="0"/>
          <w:sz w:val="32"/>
          <w:szCs w:val="32"/>
          <w:lang w:val="en-US" w:eastAsia="zh-CN"/>
        </w:rPr>
        <w:t>7</w:t>
      </w:r>
      <w:r>
        <w:rPr>
          <w:rFonts w:hint="eastAsia" w:ascii="仿宋_GB2312" w:hAnsi="仿宋_GB2312" w:eastAsia="仿宋_GB2312" w:cs="仿宋_GB2312"/>
          <w:bCs/>
          <w:kern w:val="0"/>
          <w:sz w:val="32"/>
          <w:szCs w:val="32"/>
        </w:rPr>
        <w:t>]1</w:t>
      </w:r>
      <w:r>
        <w:rPr>
          <w:rFonts w:hint="eastAsia" w:ascii="仿宋_GB2312" w:hAnsi="仿宋_GB2312" w:eastAsia="仿宋_GB2312" w:cs="仿宋_GB2312"/>
          <w:bCs/>
          <w:kern w:val="0"/>
          <w:sz w:val="32"/>
          <w:szCs w:val="32"/>
          <w:lang w:val="en-US" w:eastAsia="zh-CN"/>
        </w:rPr>
        <w:t>1</w:t>
      </w:r>
      <w:r>
        <w:rPr>
          <w:rFonts w:hint="eastAsia" w:ascii="仿宋_GB2312" w:hAnsi="仿宋_GB2312" w:eastAsia="仿宋_GB2312" w:cs="仿宋_GB2312"/>
          <w:bCs/>
          <w:kern w:val="0"/>
          <w:sz w:val="32"/>
          <w:szCs w:val="32"/>
        </w:rPr>
        <w:t>号</w:t>
      </w:r>
    </w:p>
    <w:p>
      <w:pPr>
        <w:jc w:val="center"/>
        <w:rPr>
          <w:rStyle w:val="6"/>
          <w:rFonts w:hint="eastAsia" w:ascii="宋体" w:hAnsi="宋体" w:eastAsia="宋体" w:cs="宋体"/>
          <w:b/>
          <w:bCs w:val="0"/>
          <w:sz w:val="44"/>
          <w:szCs w:val="44"/>
        </w:rPr>
      </w:pPr>
      <w:r>
        <w:rPr>
          <w:rStyle w:val="6"/>
          <w:rFonts w:hint="eastAsia" w:ascii="宋体" w:hAnsi="宋体" w:eastAsia="宋体" w:cs="宋体"/>
          <w:b/>
          <w:bCs w:val="0"/>
          <w:sz w:val="44"/>
          <w:szCs w:val="44"/>
        </w:rPr>
        <w:t>关于201</w:t>
      </w:r>
      <w:r>
        <w:rPr>
          <w:rStyle w:val="6"/>
          <w:rFonts w:hint="eastAsia" w:ascii="宋体" w:hAnsi="宋体" w:eastAsia="宋体" w:cs="宋体"/>
          <w:b/>
          <w:bCs w:val="0"/>
          <w:sz w:val="44"/>
          <w:szCs w:val="44"/>
          <w:lang w:val="en-US" w:eastAsia="zh-CN"/>
        </w:rPr>
        <w:t>7</w:t>
      </w:r>
      <w:r>
        <w:rPr>
          <w:rStyle w:val="6"/>
          <w:rFonts w:hint="eastAsia" w:ascii="宋体" w:hAnsi="宋体" w:eastAsia="宋体" w:cs="宋体"/>
          <w:b/>
          <w:bCs w:val="0"/>
          <w:sz w:val="44"/>
          <w:szCs w:val="44"/>
        </w:rPr>
        <w:t>年组织开展广东省创新型企业</w:t>
      </w:r>
    </w:p>
    <w:p>
      <w:pPr>
        <w:jc w:val="center"/>
        <w:rPr>
          <w:rStyle w:val="6"/>
          <w:rFonts w:hint="eastAsia" w:ascii="宋体" w:hAnsi="宋体" w:eastAsia="宋体" w:cs="宋体"/>
          <w:b/>
          <w:bCs w:val="0"/>
          <w:sz w:val="44"/>
          <w:szCs w:val="44"/>
        </w:rPr>
      </w:pPr>
      <w:r>
        <w:rPr>
          <w:rStyle w:val="6"/>
          <w:rFonts w:hint="eastAsia" w:ascii="宋体" w:hAnsi="宋体" w:eastAsia="宋体" w:cs="宋体"/>
          <w:b/>
          <w:bCs w:val="0"/>
          <w:sz w:val="44"/>
          <w:szCs w:val="44"/>
        </w:rPr>
        <w:t>评价(认定)工作的通知</w:t>
      </w:r>
    </w:p>
    <w:p>
      <w:pPr>
        <w:jc w:val="center"/>
        <w:rPr>
          <w:rStyle w:val="6"/>
          <w:rFonts w:hint="eastAsia" w:ascii="仿宋_GB2312" w:hAnsi="仿宋_GB2312" w:eastAsia="仿宋_GB2312" w:cs="仿宋_GB2312"/>
          <w:b w:val="0"/>
          <w:sz w:val="32"/>
          <w:szCs w:val="32"/>
        </w:rPr>
      </w:pPr>
    </w:p>
    <w:p>
      <w:pP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各地级以上市科技局（委）、顺德区经济和科技促进局、省属有关单位、各有关创新型试点企业：</w:t>
      </w:r>
    </w:p>
    <w:p>
      <w:pPr>
        <w:pStyle w:val="4"/>
        <w:snapToGrid w:val="0"/>
        <w:spacing w:beforeLines="50" w:beforeAutospacing="0" w:afterLines="50" w:afterAutospacing="0" w:line="360" w:lineRule="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 xml:space="preserve">     根据《广东省科学技术厅关于确定（第二批）社会主体及其承接相关职能的通知》（粤科函人字[2014]876号），广东省创新型企业评价工作职能</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由广东省高新技术企业协会负责。</w:t>
      </w:r>
      <w:r>
        <w:rPr>
          <w:rFonts w:hint="eastAsia" w:ascii="仿宋_GB2312" w:hAnsi="仿宋_GB2312" w:eastAsia="仿宋_GB2312" w:cs="仿宋_GB2312"/>
          <w:sz w:val="32"/>
          <w:szCs w:val="32"/>
          <w:u w:val="none"/>
        </w:rPr>
        <w:t>至201</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年，广东省共认定</w:t>
      </w:r>
      <w:r>
        <w:rPr>
          <w:rFonts w:hint="eastAsia" w:ascii="仿宋_GB2312" w:hAnsi="仿宋_GB2312" w:eastAsia="仿宋_GB2312" w:cs="仿宋_GB2312"/>
          <w:sz w:val="32"/>
          <w:szCs w:val="32"/>
          <w:u w:val="none"/>
          <w:lang w:val="en-US" w:eastAsia="zh-CN"/>
        </w:rPr>
        <w:t>516</w:t>
      </w:r>
      <w:r>
        <w:rPr>
          <w:rFonts w:hint="eastAsia" w:ascii="仿宋_GB2312" w:hAnsi="仿宋_GB2312" w:eastAsia="仿宋_GB2312" w:cs="仿宋_GB2312"/>
          <w:sz w:val="32"/>
          <w:szCs w:val="32"/>
          <w:u w:val="none"/>
        </w:rPr>
        <w:t>家企业为广东省创新型企业。</w:t>
      </w:r>
      <w:r>
        <w:rPr>
          <w:rFonts w:hint="eastAsia" w:ascii="仿宋_GB2312" w:hAnsi="仿宋_GB2312" w:eastAsia="仿宋_GB2312" w:cs="仿宋_GB2312"/>
          <w:sz w:val="32"/>
          <w:szCs w:val="32"/>
          <w:u w:val="none"/>
          <w:lang w:eastAsia="zh-CN"/>
        </w:rPr>
        <w:t>根据</w:t>
      </w:r>
      <w:r>
        <w:rPr>
          <w:rFonts w:hint="eastAsia" w:ascii="仿宋_GB2312" w:hAnsi="仿宋_GB2312" w:eastAsia="仿宋_GB2312" w:cs="仿宋_GB2312"/>
          <w:sz w:val="32"/>
          <w:szCs w:val="32"/>
          <w:u w:val="none"/>
        </w:rPr>
        <w:t xml:space="preserve"> </w:t>
      </w:r>
      <w:r>
        <w:rPr>
          <w:rFonts w:hint="eastAsia" w:ascii="仿宋_GB2312" w:hAnsi="仿宋_GB2312" w:eastAsia="仿宋_GB2312" w:cs="仿宋_GB2312"/>
          <w:color w:val="000000" w:themeColor="text1"/>
          <w:sz w:val="32"/>
          <w:szCs w:val="32"/>
          <w:u w:val="none"/>
          <w14:textFill>
            <w14:solidFill>
              <w14:schemeClr w14:val="tx1"/>
            </w14:solidFill>
          </w14:textFill>
        </w:rPr>
        <w:t>2016年3月通过的</w:t>
      </w:r>
      <w:r>
        <w:rPr>
          <w:rFonts w:hint="eastAsia" w:ascii="仿宋_GB2312" w:hAnsi="仿宋_GB2312" w:eastAsia="仿宋_GB2312" w:cs="仿宋_GB2312"/>
          <w:color w:val="000000" w:themeColor="text1"/>
          <w:sz w:val="32"/>
          <w:szCs w:val="32"/>
          <w:u w:val="none"/>
          <w:shd w:val="clear" w:color="auto" w:fill="FFFFFF"/>
          <w14:textFill>
            <w14:solidFill>
              <w14:schemeClr w14:val="tx1"/>
            </w14:solidFill>
          </w14:textFill>
        </w:rPr>
        <w:t>《广东省人民代表大会常务委员会关于修改〈广东省自主创新促进条例〉的决定》要求：</w:t>
      </w:r>
      <w:r>
        <w:rPr>
          <w:rFonts w:hint="eastAsia" w:ascii="仿宋_GB2312" w:hAnsi="仿宋_GB2312" w:eastAsia="仿宋_GB2312" w:cs="仿宋_GB2312"/>
          <w:color w:val="000000" w:themeColor="text1"/>
          <w:sz w:val="32"/>
          <w:szCs w:val="32"/>
          <w:u w:val="none"/>
          <w14:textFill>
            <w14:solidFill>
              <w14:schemeClr w14:val="tx1"/>
            </w14:solidFill>
          </w14:textFill>
        </w:rPr>
        <w:t>县级以上人民政府应当支持企业发展成为具有自主知</w:t>
      </w:r>
      <w:r>
        <w:rPr>
          <w:rFonts w:hint="eastAsia" w:ascii="仿宋_GB2312" w:hAnsi="仿宋_GB2312" w:eastAsia="仿宋_GB2312" w:cs="仿宋_GB2312"/>
          <w:sz w:val="32"/>
          <w:szCs w:val="32"/>
          <w:u w:val="none"/>
        </w:rPr>
        <w:t>识产权、自主品牌和持续创新能力的创新型企业。鼓励和支持创新型企业组建科学技术研究开发机构，制定企业创新发展战略，整合优化各类创新资源，从事核心技术、关键技术和公共技术研究</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rPr>
        <w:t>为贯彻《条例》精神，进一步推进我省创新型企业建设，充分发挥其示范带动作用，</w:t>
      </w:r>
      <w:r>
        <w:rPr>
          <w:rFonts w:hint="eastAsia" w:ascii="仿宋_GB2312" w:hAnsi="仿宋_GB2312" w:eastAsia="仿宋_GB2312" w:cs="仿宋_GB2312"/>
          <w:sz w:val="32"/>
          <w:szCs w:val="32"/>
          <w:u w:val="none"/>
        </w:rPr>
        <w:t>经研究，决定开</w:t>
      </w:r>
    </w:p>
    <w:p>
      <w:pPr>
        <w:pStyle w:val="4"/>
        <w:snapToGrid w:val="0"/>
        <w:spacing w:beforeLines="50" w:beforeAutospacing="0" w:afterLines="50" w:afterAutospacing="0" w:line="360" w:lineRule="auto"/>
        <w:rPr>
          <w:rFonts w:hint="eastAsia" w:ascii="仿宋_GB2312" w:hAnsi="仿宋_GB2312" w:eastAsia="仿宋_GB2312" w:cs="仿宋_GB2312"/>
          <w:sz w:val="32"/>
          <w:szCs w:val="32"/>
          <w:u w:val="none"/>
        </w:rPr>
      </w:pPr>
    </w:p>
    <w:p>
      <w:pPr>
        <w:pStyle w:val="4"/>
        <w:snapToGrid w:val="0"/>
        <w:spacing w:beforeLines="50" w:beforeAutospacing="0" w:afterLines="50" w:afterAutospacing="0"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t>展201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年广东省创新型企业评价（认定）工作</w:t>
      </w:r>
      <w:r>
        <w:rPr>
          <w:rFonts w:hint="eastAsia" w:ascii="仿宋_GB2312" w:hAnsi="仿宋_GB2312" w:eastAsia="仿宋_GB2312" w:cs="仿宋_GB2312"/>
          <w:sz w:val="32"/>
          <w:szCs w:val="32"/>
        </w:rPr>
        <w:t>，现将有关事项通知如下：</w:t>
      </w:r>
    </w:p>
    <w:p>
      <w:pPr>
        <w:pStyle w:val="4"/>
        <w:snapToGrid w:val="0"/>
        <w:spacing w:beforeLines="50" w:beforeAutospacing="0" w:afterLines="50" w:afterAutospacing="0" w:line="360" w:lineRule="auto"/>
        <w:ind w:firstLine="627" w:firstLineChars="196"/>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b/>
          <w:bCs/>
          <w:color w:val="404040"/>
          <w:sz w:val="32"/>
          <w:szCs w:val="32"/>
          <w:shd w:val="clear" w:color="auto" w:fill="FFFFFF"/>
        </w:rPr>
        <w:t>一、评价目的</w:t>
      </w:r>
    </w:p>
    <w:p>
      <w:pPr>
        <w:pStyle w:val="4"/>
        <w:snapToGrid w:val="0"/>
        <w:spacing w:beforeLines="50" w:beforeAutospacing="0" w:afterLines="50" w:afterAutospacing="0" w:line="360" w:lineRule="auto"/>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xml:space="preserve">    评估我省创新型企业试点工作进展，总结试点企业创新发展的经验和做法，加强创新型企业的建设导向，提升企业自主创新能力，认定广东省创新型企业，引导企业走依靠自主创新发展的道路，促进企业转型升级和经济发展方式转变。</w:t>
      </w:r>
    </w:p>
    <w:p>
      <w:pPr>
        <w:pStyle w:val="4"/>
        <w:snapToGrid w:val="0"/>
        <w:spacing w:beforeLines="50" w:beforeAutospacing="0" w:afterLines="50" w:afterAutospacing="0" w:line="360" w:lineRule="auto"/>
        <w:ind w:firstLine="627" w:firstLineChars="196"/>
        <w:rPr>
          <w:rFonts w:hint="eastAsia" w:ascii="仿宋_GB2312" w:hAnsi="仿宋_GB2312" w:eastAsia="仿宋_GB2312" w:cs="仿宋_GB2312"/>
          <w:b/>
          <w:bCs/>
          <w:color w:val="404040"/>
          <w:sz w:val="32"/>
          <w:szCs w:val="32"/>
          <w:shd w:val="clear" w:color="auto" w:fill="FFFFFF"/>
        </w:rPr>
      </w:pPr>
      <w:r>
        <w:rPr>
          <w:rFonts w:hint="eastAsia" w:ascii="仿宋_GB2312" w:hAnsi="仿宋_GB2312" w:eastAsia="仿宋_GB2312" w:cs="仿宋_GB2312"/>
          <w:b/>
          <w:bCs/>
          <w:color w:val="404040"/>
          <w:sz w:val="32"/>
          <w:szCs w:val="32"/>
          <w:shd w:val="clear" w:color="auto" w:fill="FFFFFF"/>
        </w:rPr>
        <w:t>二、评价范围</w:t>
      </w:r>
    </w:p>
    <w:p>
      <w:pPr>
        <w:pStyle w:val="4"/>
        <w:snapToGrid w:val="0"/>
        <w:spacing w:beforeLines="50" w:beforeAutospacing="0" w:afterLines="50" w:afterAutospacing="0" w:line="360" w:lineRule="auto"/>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xml:space="preserve">    本次评价的范围包括两类型的企业：</w:t>
      </w:r>
      <w:r>
        <w:rPr>
          <w:rFonts w:hint="eastAsia" w:ascii="仿宋_GB2312" w:hAnsi="仿宋_GB2312" w:eastAsia="仿宋_GB2312" w:cs="仿宋_GB2312"/>
          <w:color w:val="404040"/>
          <w:sz w:val="32"/>
          <w:szCs w:val="32"/>
          <w:u w:val="none"/>
          <w:shd w:val="clear" w:color="auto" w:fill="FFFFFF"/>
        </w:rPr>
        <w:t>一是广东省2006年至201</w:t>
      </w:r>
      <w:r>
        <w:rPr>
          <w:rFonts w:hint="eastAsia" w:ascii="仿宋_GB2312" w:hAnsi="仿宋_GB2312" w:eastAsia="仿宋_GB2312" w:cs="仿宋_GB2312"/>
          <w:color w:val="404040"/>
          <w:sz w:val="32"/>
          <w:szCs w:val="32"/>
          <w:u w:val="none"/>
          <w:shd w:val="clear" w:color="auto" w:fill="FFFFFF"/>
          <w:lang w:val="en-US" w:eastAsia="zh-CN"/>
        </w:rPr>
        <w:t>6</w:t>
      </w:r>
      <w:r>
        <w:rPr>
          <w:rFonts w:hint="eastAsia" w:ascii="仿宋_GB2312" w:hAnsi="仿宋_GB2312" w:eastAsia="仿宋_GB2312" w:cs="仿宋_GB2312"/>
          <w:color w:val="404040"/>
          <w:sz w:val="32"/>
          <w:szCs w:val="32"/>
          <w:u w:val="none"/>
          <w:shd w:val="clear" w:color="auto" w:fill="FFFFFF"/>
        </w:rPr>
        <w:t>年创新型试点企业名单中尚未被命名为“广东省创新型企业”的企业；二是已通过认定，但证书于201</w:t>
      </w:r>
      <w:r>
        <w:rPr>
          <w:rFonts w:hint="eastAsia" w:ascii="仿宋_GB2312" w:hAnsi="仿宋_GB2312" w:eastAsia="仿宋_GB2312" w:cs="仿宋_GB2312"/>
          <w:color w:val="404040"/>
          <w:sz w:val="32"/>
          <w:szCs w:val="32"/>
          <w:u w:val="none"/>
          <w:shd w:val="clear" w:color="auto" w:fill="FFFFFF"/>
          <w:lang w:val="en-US" w:eastAsia="zh-CN"/>
        </w:rPr>
        <w:t>7</w:t>
      </w:r>
      <w:r>
        <w:rPr>
          <w:rFonts w:hint="eastAsia" w:ascii="仿宋_GB2312" w:hAnsi="仿宋_GB2312" w:eastAsia="仿宋_GB2312" w:cs="仿宋_GB2312"/>
          <w:color w:val="404040"/>
          <w:sz w:val="32"/>
          <w:szCs w:val="32"/>
          <w:u w:val="none"/>
          <w:shd w:val="clear" w:color="auto" w:fill="FFFFFF"/>
        </w:rPr>
        <w:t>年到期的广东省创新型企业。符合规定的企业可根据自身实际情况自愿参加20</w:t>
      </w:r>
      <w:r>
        <w:rPr>
          <w:rFonts w:hint="eastAsia" w:ascii="仿宋_GB2312" w:hAnsi="仿宋_GB2312" w:eastAsia="仿宋_GB2312" w:cs="仿宋_GB2312"/>
          <w:color w:val="404040"/>
          <w:sz w:val="32"/>
          <w:szCs w:val="32"/>
          <w:u w:val="none"/>
          <w:shd w:val="clear" w:color="auto" w:fill="FFFFFF"/>
          <w:lang w:val="en-US" w:eastAsia="zh-CN"/>
        </w:rPr>
        <w:t>17</w:t>
      </w:r>
      <w:r>
        <w:rPr>
          <w:rFonts w:hint="eastAsia" w:ascii="仿宋_GB2312" w:hAnsi="仿宋_GB2312" w:eastAsia="仿宋_GB2312" w:cs="仿宋_GB2312"/>
          <w:color w:val="404040"/>
          <w:sz w:val="32"/>
          <w:szCs w:val="32"/>
          <w:u w:val="none"/>
          <w:shd w:val="clear" w:color="auto" w:fill="FFFFFF"/>
        </w:rPr>
        <w:t>年广东省创新型企业评价。</w:t>
      </w:r>
      <w:r>
        <w:rPr>
          <w:rFonts w:hint="eastAsia" w:ascii="仿宋_GB2312" w:hAnsi="仿宋_GB2312" w:eastAsia="仿宋_GB2312" w:cs="仿宋_GB2312"/>
          <w:color w:val="404040"/>
          <w:sz w:val="32"/>
          <w:szCs w:val="32"/>
          <w:shd w:val="clear" w:color="auto" w:fill="FFFFFF"/>
        </w:rPr>
        <w:t>请各地级以上市科技局（委）等有关部门做好组织申报工作。</w:t>
      </w:r>
    </w:p>
    <w:p>
      <w:pPr>
        <w:pStyle w:val="4"/>
        <w:snapToGrid w:val="0"/>
        <w:spacing w:beforeLines="50" w:beforeAutospacing="0" w:afterLines="50" w:afterAutospacing="0" w:line="360" w:lineRule="auto"/>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w:t>
      </w:r>
      <w:r>
        <w:rPr>
          <w:rFonts w:hint="eastAsia" w:ascii="仿宋_GB2312" w:hAnsi="仿宋_GB2312" w:eastAsia="仿宋_GB2312" w:cs="仿宋_GB2312"/>
          <w:b/>
          <w:bCs/>
          <w:color w:val="404040"/>
          <w:sz w:val="32"/>
          <w:szCs w:val="32"/>
          <w:shd w:val="clear" w:color="auto" w:fill="FFFFFF"/>
        </w:rPr>
        <w:t>三、评价指标</w:t>
      </w:r>
    </w:p>
    <w:p>
      <w:pPr>
        <w:pStyle w:val="4"/>
        <w:snapToGrid w:val="0"/>
        <w:spacing w:beforeLines="50" w:beforeAutospacing="0" w:afterLines="50" w:afterAutospacing="0" w:line="360" w:lineRule="auto"/>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本次评价依据广东省创新型企业评价指标体系（见附件1）进行。创新型企业评价指标体系以考察企业发展对技术创新的依存程度为核心，主要指标包括研发经费投入强度、千名研究开发人员拥有授权发明专利量、新产品（工艺、服务）销售收入占主营业务收入比重、全员劳动生产率以及创新组织与管理等内容。</w:t>
      </w:r>
    </w:p>
    <w:p>
      <w:pPr>
        <w:pStyle w:val="4"/>
        <w:snapToGrid w:val="0"/>
        <w:spacing w:beforeLines="50" w:beforeAutospacing="0" w:afterLines="50" w:afterAutospacing="0" w:line="360" w:lineRule="auto"/>
        <w:ind w:firstLine="585"/>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b/>
          <w:bCs/>
          <w:color w:val="404040"/>
          <w:sz w:val="32"/>
          <w:szCs w:val="32"/>
          <w:shd w:val="clear" w:color="auto" w:fill="FFFFFF"/>
        </w:rPr>
        <w:t>四、组织实施</w:t>
      </w:r>
    </w:p>
    <w:p>
      <w:pPr>
        <w:pStyle w:val="4"/>
        <w:snapToGrid w:val="0"/>
        <w:spacing w:beforeLines="50" w:beforeAutospacing="0" w:afterLines="50" w:afterAutospacing="0" w:line="360" w:lineRule="auto"/>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xml:space="preserve">   （一）</w:t>
      </w:r>
      <w:r>
        <w:rPr>
          <w:rFonts w:hint="eastAsia" w:ascii="仿宋_GB2312" w:hAnsi="仿宋_GB2312" w:eastAsia="仿宋_GB2312" w:cs="仿宋_GB2312"/>
          <w:color w:val="404040"/>
          <w:sz w:val="32"/>
          <w:szCs w:val="32"/>
          <w:u w:val="none"/>
          <w:shd w:val="clear" w:color="auto" w:fill="FFFFFF"/>
        </w:rPr>
        <w:t>企业</w:t>
      </w:r>
      <w:r>
        <w:rPr>
          <w:rFonts w:hint="eastAsia" w:ascii="仿宋_GB2312" w:hAnsi="仿宋_GB2312" w:eastAsia="仿宋_GB2312" w:cs="仿宋_GB2312"/>
          <w:color w:val="404040"/>
          <w:sz w:val="32"/>
          <w:szCs w:val="32"/>
          <w:u w:val="none"/>
          <w:shd w:val="clear" w:color="auto" w:fill="FFFFFF"/>
          <w:lang w:eastAsia="zh-CN"/>
        </w:rPr>
        <w:t>首先</w:t>
      </w:r>
      <w:r>
        <w:rPr>
          <w:rFonts w:hint="eastAsia" w:ascii="仿宋_GB2312" w:hAnsi="仿宋_GB2312" w:eastAsia="仿宋_GB2312" w:cs="仿宋_GB2312"/>
          <w:color w:val="404040"/>
          <w:sz w:val="32"/>
          <w:szCs w:val="32"/>
          <w:u w:val="none"/>
          <w:shd w:val="clear" w:color="auto" w:fill="FFFFFF"/>
        </w:rPr>
        <w:t>自评估，按要求组织</w:t>
      </w:r>
      <w:r>
        <w:rPr>
          <w:rFonts w:hint="eastAsia" w:ascii="仿宋_GB2312" w:hAnsi="仿宋_GB2312" w:eastAsia="仿宋_GB2312" w:cs="仿宋_GB2312"/>
          <w:color w:val="404040"/>
          <w:sz w:val="32"/>
          <w:szCs w:val="32"/>
          <w:u w:val="none"/>
          <w:shd w:val="clear" w:color="auto" w:fill="FFFFFF"/>
          <w:lang w:eastAsia="zh-CN"/>
        </w:rPr>
        <w:t>完善</w:t>
      </w:r>
      <w:r>
        <w:rPr>
          <w:rFonts w:hint="eastAsia" w:ascii="仿宋_GB2312" w:hAnsi="仿宋_GB2312" w:eastAsia="仿宋_GB2312" w:cs="仿宋_GB2312"/>
          <w:color w:val="404040"/>
          <w:sz w:val="32"/>
          <w:szCs w:val="32"/>
          <w:u w:val="none"/>
          <w:shd w:val="clear" w:color="auto" w:fill="FFFFFF"/>
        </w:rPr>
        <w:t>申报材料</w:t>
      </w:r>
      <w:r>
        <w:rPr>
          <w:rFonts w:hint="eastAsia" w:ascii="仿宋_GB2312" w:hAnsi="仿宋_GB2312" w:eastAsia="仿宋_GB2312" w:cs="仿宋_GB2312"/>
          <w:color w:val="404040"/>
          <w:sz w:val="32"/>
          <w:szCs w:val="32"/>
          <w:shd w:val="clear" w:color="auto" w:fill="FFFFFF"/>
        </w:rPr>
        <w:t>，并在规定时间内报送至广东省高新技术企业协会。</w:t>
      </w:r>
    </w:p>
    <w:p>
      <w:pPr>
        <w:pStyle w:val="4"/>
        <w:snapToGrid w:val="0"/>
        <w:spacing w:beforeLines="50" w:beforeAutospacing="0" w:afterLines="50" w:afterAutospacing="0" w:line="360" w:lineRule="auto"/>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xml:space="preserve">   （二）综合评审。广东省高新技术企业协会通过专家库随机抽选专家组成评审专家组，采取定量与定性相结合和分类处理的方法，根据创新型企业评价指标对企业的申请材料进行综合评审后，</w:t>
      </w:r>
      <w:r>
        <w:rPr>
          <w:rFonts w:hint="eastAsia" w:ascii="仿宋_GB2312" w:hAnsi="仿宋_GB2312" w:eastAsia="仿宋_GB2312" w:cs="仿宋_GB2312"/>
          <w:color w:val="404040"/>
          <w:sz w:val="32"/>
          <w:szCs w:val="32"/>
          <w:u w:val="none"/>
          <w:shd w:val="clear" w:color="auto" w:fill="FFFFFF"/>
        </w:rPr>
        <w:t>拟定201</w:t>
      </w:r>
      <w:r>
        <w:rPr>
          <w:rFonts w:hint="eastAsia" w:ascii="仿宋_GB2312" w:hAnsi="仿宋_GB2312" w:eastAsia="仿宋_GB2312" w:cs="仿宋_GB2312"/>
          <w:color w:val="404040"/>
          <w:sz w:val="32"/>
          <w:szCs w:val="32"/>
          <w:u w:val="none"/>
          <w:shd w:val="clear" w:color="auto" w:fill="FFFFFF"/>
          <w:lang w:val="en-US" w:eastAsia="zh-CN"/>
        </w:rPr>
        <w:t>7</w:t>
      </w:r>
      <w:r>
        <w:rPr>
          <w:rFonts w:hint="eastAsia" w:ascii="仿宋_GB2312" w:hAnsi="仿宋_GB2312" w:eastAsia="仿宋_GB2312" w:cs="仿宋_GB2312"/>
          <w:color w:val="404040"/>
          <w:sz w:val="32"/>
          <w:szCs w:val="32"/>
          <w:u w:val="none"/>
          <w:shd w:val="clear" w:color="auto" w:fill="FFFFFF"/>
        </w:rPr>
        <w:t>年</w:t>
      </w:r>
      <w:r>
        <w:rPr>
          <w:rFonts w:hint="eastAsia" w:ascii="仿宋_GB2312" w:hAnsi="仿宋_GB2312" w:eastAsia="仿宋_GB2312" w:cs="仿宋_GB2312"/>
          <w:color w:val="404040"/>
          <w:sz w:val="32"/>
          <w:szCs w:val="32"/>
          <w:shd w:val="clear" w:color="auto" w:fill="FFFFFF"/>
        </w:rPr>
        <w:t>“广东省创新型企业”名单。</w:t>
      </w:r>
    </w:p>
    <w:p>
      <w:pPr>
        <w:pStyle w:val="4"/>
        <w:snapToGrid w:val="0"/>
        <w:spacing w:beforeLines="50" w:beforeAutospacing="0" w:afterLines="50" w:afterAutospacing="0" w:line="360" w:lineRule="auto"/>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（三）在广东省高新技术企业协会网站经十五个工作日的公示后，</w:t>
      </w:r>
      <w:r>
        <w:rPr>
          <w:rFonts w:hint="eastAsia" w:ascii="仿宋_GB2312" w:hAnsi="仿宋_GB2312" w:eastAsia="仿宋_GB2312" w:cs="仿宋_GB2312"/>
          <w:color w:val="404040"/>
          <w:sz w:val="32"/>
          <w:szCs w:val="32"/>
          <w:u w:val="none"/>
          <w:shd w:val="clear" w:color="auto" w:fill="FFFFFF"/>
        </w:rPr>
        <w:t>发布201</w:t>
      </w:r>
      <w:r>
        <w:rPr>
          <w:rFonts w:hint="eastAsia" w:ascii="仿宋_GB2312" w:hAnsi="仿宋_GB2312" w:eastAsia="仿宋_GB2312" w:cs="仿宋_GB2312"/>
          <w:color w:val="404040"/>
          <w:sz w:val="32"/>
          <w:szCs w:val="32"/>
          <w:u w:val="none"/>
          <w:shd w:val="clear" w:color="auto" w:fill="FFFFFF"/>
          <w:lang w:val="en-US" w:eastAsia="zh-CN"/>
        </w:rPr>
        <w:t>7</w:t>
      </w:r>
      <w:r>
        <w:rPr>
          <w:rFonts w:hint="eastAsia" w:ascii="仿宋_GB2312" w:hAnsi="仿宋_GB2312" w:eastAsia="仿宋_GB2312" w:cs="仿宋_GB2312"/>
          <w:color w:val="404040"/>
          <w:sz w:val="32"/>
          <w:szCs w:val="32"/>
          <w:u w:val="none"/>
          <w:shd w:val="clear" w:color="auto" w:fill="FFFFFF"/>
        </w:rPr>
        <w:t>年“广东省创新型企业”名单。</w:t>
      </w:r>
    </w:p>
    <w:p>
      <w:pPr>
        <w:pStyle w:val="4"/>
        <w:snapToGrid w:val="0"/>
        <w:spacing w:beforeLines="50" w:beforeAutospacing="0" w:afterLines="50" w:afterAutospacing="0" w:line="360" w:lineRule="auto"/>
        <w:ind w:firstLine="525"/>
        <w:rPr>
          <w:rFonts w:hint="eastAsia" w:ascii="仿宋_GB2312" w:hAnsi="仿宋_GB2312" w:eastAsia="仿宋_GB2312" w:cs="仿宋_GB2312"/>
          <w:b/>
          <w:bCs/>
          <w:color w:val="404040"/>
          <w:sz w:val="32"/>
          <w:szCs w:val="32"/>
          <w:shd w:val="clear" w:color="auto" w:fill="FFFFFF"/>
        </w:rPr>
      </w:pPr>
      <w:r>
        <w:rPr>
          <w:rFonts w:hint="eastAsia" w:ascii="仿宋_GB2312" w:hAnsi="仿宋_GB2312" w:eastAsia="仿宋_GB2312" w:cs="仿宋_GB2312"/>
          <w:b/>
          <w:bCs/>
          <w:color w:val="404040"/>
          <w:sz w:val="32"/>
          <w:szCs w:val="32"/>
          <w:shd w:val="clear" w:color="auto" w:fill="FFFFFF"/>
        </w:rPr>
        <w:t>五、企业申报材料及报送要求</w:t>
      </w:r>
    </w:p>
    <w:p>
      <w:pPr>
        <w:pStyle w:val="4"/>
        <w:snapToGrid w:val="0"/>
        <w:spacing w:beforeLines="50" w:beforeAutospacing="0" w:afterLines="50" w:afterAutospacing="0" w:line="360" w:lineRule="auto"/>
        <w:ind w:firstLine="525"/>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（一）申报材料要求</w:t>
      </w:r>
    </w:p>
    <w:p>
      <w:pPr>
        <w:pStyle w:val="4"/>
        <w:snapToGrid w:val="0"/>
        <w:spacing w:beforeLines="50" w:beforeAutospacing="0" w:afterLines="50" w:afterAutospacing="0" w:line="360" w:lineRule="auto"/>
        <w:ind w:firstLine="525"/>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404040"/>
          <w:sz w:val="32"/>
          <w:szCs w:val="32"/>
          <w:shd w:val="clear" w:color="auto" w:fill="FFFFFF"/>
        </w:rPr>
        <w:t>参加本次评价的企业下载并认真填写《广东省创新型企业评价（认定）申报书》（以下简称《申报书》，模板见附件2）。</w:t>
      </w:r>
    </w:p>
    <w:p>
      <w:pPr>
        <w:pStyle w:val="4"/>
        <w:snapToGrid w:val="0"/>
        <w:spacing w:beforeLines="50" w:beforeAutospacing="0" w:after="0" w:afterAutospacing="0" w:line="360" w:lineRule="auto"/>
        <w:ind w:firstLine="5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2.打印《申报书》并附各项书面证明材料，形成申报材料并装订成册（一式2份），申报材料要求以《申报书》首页为封面，并按材料顺序制作</w:t>
      </w:r>
      <w:r>
        <w:rPr>
          <w:rFonts w:hint="eastAsia" w:ascii="仿宋_GB2312" w:hAnsi="仿宋_GB2312" w:eastAsia="仿宋_GB2312" w:cs="仿宋_GB2312"/>
          <w:sz w:val="32"/>
          <w:szCs w:val="32"/>
          <w:u w:val="none"/>
          <w:lang w:eastAsia="zh-CN"/>
        </w:rPr>
        <w:t>相关</w:t>
      </w:r>
      <w:r>
        <w:rPr>
          <w:rFonts w:hint="eastAsia" w:ascii="仿宋_GB2312" w:hAnsi="仿宋_GB2312" w:eastAsia="仿宋_GB2312" w:cs="仿宋_GB2312"/>
          <w:sz w:val="32"/>
          <w:szCs w:val="32"/>
          <w:u w:val="none"/>
        </w:rPr>
        <w:t>目录</w:t>
      </w:r>
      <w:r>
        <w:rPr>
          <w:rFonts w:hint="eastAsia" w:ascii="仿宋_GB2312" w:hAnsi="仿宋_GB2312" w:eastAsia="仿宋_GB2312" w:cs="仿宋_GB2312"/>
          <w:sz w:val="32"/>
          <w:szCs w:val="32"/>
        </w:rPr>
        <w:t>。证明材料是《申报书》所填内容真实性的重要佐证，请按照《申报书》中附件清单，依据填写内容和企业实际情况附上。纸质申报材料需加盖单位公章。</w:t>
      </w:r>
      <w:r>
        <w:rPr>
          <w:rFonts w:hint="eastAsia" w:ascii="仿宋_GB2312" w:hAnsi="仿宋_GB2312" w:eastAsia="仿宋_GB2312" w:cs="仿宋_GB2312"/>
          <w:color w:val="404040"/>
          <w:sz w:val="32"/>
          <w:szCs w:val="32"/>
          <w:shd w:val="clear" w:color="auto" w:fill="FFFFFF"/>
        </w:rPr>
        <w:t>《申报书》模板可在广东省高新技术企业协会网站（http://www.gdhte.cn）下载。</w:t>
      </w:r>
    </w:p>
    <w:p>
      <w:pPr>
        <w:widowControl/>
        <w:tabs>
          <w:tab w:val="left" w:pos="550"/>
          <w:tab w:val="left" w:pos="3150"/>
          <w:tab w:val="left" w:pos="4443"/>
          <w:tab w:val="left" w:pos="5559"/>
          <w:tab w:val="left" w:pos="6554"/>
          <w:tab w:val="left" w:pos="7549"/>
          <w:tab w:val="left" w:pos="10101"/>
          <w:tab w:val="left" w:pos="12015"/>
          <w:tab w:val="left" w:pos="13291"/>
          <w:tab w:val="left" w:pos="14781"/>
          <w:tab w:val="left" w:pos="15914"/>
        </w:tabs>
        <w:spacing w:beforeLines="5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附件清单：</w:t>
      </w:r>
    </w:p>
    <w:tbl>
      <w:tblPr>
        <w:tblStyle w:val="7"/>
        <w:tblW w:w="8522" w:type="dxa"/>
        <w:jc w:val="center"/>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852"/>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817"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序号</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附件名称</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营业执照</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0" w:name="attach_amount_1551"/>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2</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验资报告</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1" w:name="attach_amount_1552"/>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3</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会计师事务所出具的近3年审计报告及有关财务报表</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2" w:name="attach_amount_1553"/>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4</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高新技术企业认定证书</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3" w:name="attach_amount_1554"/>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5</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资信等级评定证书</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4" w:name="attach_amount_1555"/>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6</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省部级以上研发机构认定证书</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5" w:name="attach_amount_1556"/>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7</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省部级以上科技奖励证书</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6" w:name="attach_amount_1557"/>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8</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省部级以上科技计划项目任务书</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7" w:name="attach_amount_1558"/>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9</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相关认证评级（评比）证书</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8" w:name="attach_amount_1559"/>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10</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专利或著作权等知识产权证书</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9" w:name="attach_amount_1560"/>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11</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技术标准批准文件</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10" w:name="attach_amount_1561"/>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12</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企业（科技）发展规划</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11" w:name="attach_amount_1562"/>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13</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知识产权管理制度</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12" w:name="attach_amount_1563"/>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14</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薪酬激励制度和奖励表彰制度等</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13" w:name="attach_amount_1564"/>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15</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留学生企业须提供能够证明符合留学生企业界定条件的有关材料</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14" w:name="attach_amount_1565"/>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16</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新产品（工艺、服务）采用的新技术原理、新设计构思研制、生产，或在结构、材质、工艺等某一方面比原产品有明显改进的相关说明材料</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7" w:hRule="atLeast"/>
          <w:jc w:val="center"/>
        </w:trPr>
        <w:tc>
          <w:tcPr>
            <w:tcW w:w="817"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17</w:t>
            </w:r>
          </w:p>
        </w:tc>
        <w:tc>
          <w:tcPr>
            <w:tcW w:w="6852" w:type="dxa"/>
            <w:vAlign w:val="center"/>
          </w:tcPr>
          <w:p>
            <w:pPr>
              <w:snapToGrid w:val="0"/>
              <w:rPr>
                <w:rFonts w:hint="eastAsia" w:ascii="仿宋_GB2312" w:hAnsi="仿宋_GB2312" w:eastAsia="仿宋_GB2312" w:cs="仿宋_GB2312"/>
                <w:color w:val="404040"/>
                <w:kern w:val="0"/>
                <w:sz w:val="32"/>
                <w:szCs w:val="32"/>
                <w:shd w:val="clear" w:color="auto" w:fill="FFFFFF"/>
              </w:rPr>
            </w:pPr>
            <w:r>
              <w:rPr>
                <w:rFonts w:hint="eastAsia" w:ascii="仿宋_GB2312" w:hAnsi="仿宋_GB2312" w:eastAsia="仿宋_GB2312" w:cs="仿宋_GB2312"/>
                <w:color w:val="404040"/>
                <w:kern w:val="0"/>
                <w:sz w:val="32"/>
                <w:szCs w:val="32"/>
                <w:shd w:val="clear" w:color="auto" w:fill="FFFFFF"/>
              </w:rPr>
              <w:t>其他</w:t>
            </w:r>
          </w:p>
        </w:tc>
        <w:tc>
          <w:tcPr>
            <w:tcW w:w="853" w:type="dxa"/>
            <w:vAlign w:val="center"/>
          </w:tcPr>
          <w:p>
            <w:pPr>
              <w:snapToGrid w:val="0"/>
              <w:jc w:val="center"/>
              <w:rPr>
                <w:rFonts w:hint="eastAsia" w:ascii="仿宋_GB2312" w:hAnsi="仿宋_GB2312" w:eastAsia="仿宋_GB2312" w:cs="仿宋_GB2312"/>
                <w:color w:val="404040"/>
                <w:kern w:val="0"/>
                <w:sz w:val="32"/>
                <w:szCs w:val="32"/>
                <w:shd w:val="clear" w:color="auto" w:fill="FFFFFF"/>
              </w:rPr>
            </w:pPr>
            <w:bookmarkStart w:id="15" w:name="attach_amount_1566"/>
            <w:bookmarkEnd w:id="15"/>
          </w:p>
        </w:tc>
      </w:tr>
    </w:tbl>
    <w:p>
      <w:pPr>
        <w:pStyle w:val="4"/>
        <w:snapToGrid w:val="0"/>
        <w:spacing w:beforeLines="100" w:beforeAutospacing="0" w:afterLines="50" w:afterAutospacing="0" w:line="360" w:lineRule="auto"/>
        <w:ind w:firstLine="640" w:firstLineChars="20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sz w:val="32"/>
          <w:szCs w:val="32"/>
        </w:rPr>
        <w:t>3.电子版《申报书》以“创新型企业</w:t>
      </w:r>
      <w:r>
        <w:rPr>
          <w:rFonts w:hint="eastAsia" w:ascii="仿宋_GB2312" w:hAnsi="仿宋_GB2312" w:eastAsia="仿宋_GB2312" w:cs="仿宋_GB2312"/>
          <w:color w:val="404040"/>
          <w:sz w:val="32"/>
          <w:szCs w:val="32"/>
          <w:shd w:val="clear" w:color="auto" w:fill="FFFFFF"/>
        </w:rPr>
        <w:t>评价</w:t>
      </w:r>
      <w:r>
        <w:rPr>
          <w:rFonts w:hint="eastAsia" w:ascii="仿宋_GB2312" w:hAnsi="仿宋_GB2312" w:eastAsia="仿宋_GB2312" w:cs="仿宋_GB2312"/>
          <w:sz w:val="32"/>
          <w:szCs w:val="32"/>
        </w:rPr>
        <w:t>申报书-企业名称”为文件名保存并制作光盘或存入</w:t>
      </w:r>
      <w:r>
        <w:rPr>
          <w:rFonts w:hint="eastAsia" w:ascii="仿宋_GB2312" w:hAnsi="仿宋_GB2312" w:eastAsia="仿宋_GB2312" w:cs="仿宋_GB2312"/>
          <w:color w:val="404040"/>
          <w:sz w:val="32"/>
          <w:szCs w:val="32"/>
          <w:shd w:val="clear" w:color="auto" w:fill="FFFFFF"/>
        </w:rPr>
        <w:t>U</w:t>
      </w:r>
      <w:r>
        <w:rPr>
          <w:rFonts w:hint="eastAsia" w:ascii="仿宋_GB2312" w:hAnsi="仿宋_GB2312" w:eastAsia="仿宋_GB2312" w:cs="仿宋_GB2312"/>
          <w:sz w:val="32"/>
          <w:szCs w:val="32"/>
        </w:rPr>
        <w:t>盘，附件清单的内容可不列入电子版。在截止时间前与纸质版材料一并报送推荐单位审核。各地级以上市企业报送所属地市科技主管部门。</w:t>
      </w:r>
    </w:p>
    <w:p>
      <w:pPr>
        <w:pStyle w:val="4"/>
        <w:snapToGrid w:val="0"/>
        <w:spacing w:beforeLines="50" w:beforeAutospacing="0" w:afterLines="50" w:afterAutospacing="0" w:line="360" w:lineRule="auto"/>
        <w:ind w:firstLine="60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（二）材料报送要求</w:t>
      </w:r>
    </w:p>
    <w:p>
      <w:pPr>
        <w:pStyle w:val="4"/>
        <w:snapToGrid w:val="0"/>
        <w:spacing w:beforeLines="50" w:beforeAutospacing="0" w:afterLines="50" w:afterAutospacing="0" w:line="360" w:lineRule="auto"/>
        <w:ind w:firstLine="60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申报企业所属地市科技主管部门对申报材料进行初审，</w:t>
      </w:r>
      <w:r>
        <w:rPr>
          <w:rFonts w:hint="eastAsia" w:ascii="仿宋_GB2312" w:hAnsi="仿宋_GB2312" w:eastAsia="仿宋_GB2312" w:cs="仿宋_GB2312"/>
          <w:color w:val="404040"/>
          <w:sz w:val="32"/>
          <w:szCs w:val="32"/>
          <w:u w:val="none"/>
          <w:shd w:val="clear" w:color="auto" w:fill="FFFFFF"/>
        </w:rPr>
        <w:t>出具《广东省201</w:t>
      </w:r>
      <w:r>
        <w:rPr>
          <w:rFonts w:hint="eastAsia" w:ascii="仿宋_GB2312" w:hAnsi="仿宋_GB2312" w:eastAsia="仿宋_GB2312" w:cs="仿宋_GB2312"/>
          <w:color w:val="404040"/>
          <w:sz w:val="32"/>
          <w:szCs w:val="32"/>
          <w:u w:val="none"/>
          <w:shd w:val="clear" w:color="auto" w:fill="FFFFFF"/>
          <w:lang w:val="en-US" w:eastAsia="zh-CN"/>
        </w:rPr>
        <w:t>7</w:t>
      </w:r>
      <w:r>
        <w:rPr>
          <w:rFonts w:hint="eastAsia" w:ascii="仿宋_GB2312" w:hAnsi="仿宋_GB2312" w:eastAsia="仿宋_GB2312" w:cs="仿宋_GB2312"/>
          <w:color w:val="404040"/>
          <w:sz w:val="32"/>
          <w:szCs w:val="32"/>
          <w:u w:val="none"/>
          <w:shd w:val="clear" w:color="auto" w:fill="FFFFFF"/>
        </w:rPr>
        <w:t>年创新型企业评价（认定）推荐表》（以下简称《推荐表》</w:t>
      </w:r>
      <w:r>
        <w:rPr>
          <w:rFonts w:hint="eastAsia" w:ascii="仿宋_GB2312" w:hAnsi="仿宋_GB2312" w:eastAsia="仿宋_GB2312" w:cs="仿宋_GB2312"/>
          <w:color w:val="404040"/>
          <w:sz w:val="32"/>
          <w:szCs w:val="32"/>
          <w:shd w:val="clear" w:color="auto" w:fill="FFFFFF"/>
        </w:rPr>
        <w:t>见附件3，一式1份），与通过初审及推荐的各企业申报材料一起，于201</w:t>
      </w:r>
      <w:r>
        <w:rPr>
          <w:rFonts w:hint="eastAsia" w:ascii="仿宋_GB2312" w:hAnsi="仿宋_GB2312" w:eastAsia="仿宋_GB2312" w:cs="仿宋_GB2312"/>
          <w:color w:val="404040"/>
          <w:sz w:val="32"/>
          <w:szCs w:val="32"/>
          <w:shd w:val="clear" w:color="auto" w:fill="FFFFFF"/>
          <w:lang w:val="en-US" w:eastAsia="zh-CN"/>
        </w:rPr>
        <w:t>7</w:t>
      </w:r>
      <w:r>
        <w:rPr>
          <w:rFonts w:hint="eastAsia" w:ascii="仿宋_GB2312" w:hAnsi="仿宋_GB2312" w:eastAsia="仿宋_GB2312" w:cs="仿宋_GB2312"/>
          <w:color w:val="404040"/>
          <w:sz w:val="32"/>
          <w:szCs w:val="32"/>
          <w:shd w:val="clear" w:color="auto" w:fill="FFFFFF"/>
        </w:rPr>
        <w:t>年</w:t>
      </w:r>
      <w:r>
        <w:rPr>
          <w:rFonts w:hint="eastAsia" w:ascii="仿宋_GB2312" w:hAnsi="仿宋_GB2312" w:eastAsia="仿宋_GB2312" w:cs="仿宋_GB2312"/>
          <w:color w:val="404040"/>
          <w:sz w:val="32"/>
          <w:szCs w:val="32"/>
          <w:shd w:val="clear" w:color="auto" w:fill="FFFFFF"/>
          <w:lang w:val="en-US" w:eastAsia="zh-CN"/>
        </w:rPr>
        <w:t>10</w:t>
      </w:r>
      <w:r>
        <w:rPr>
          <w:rFonts w:hint="eastAsia" w:ascii="仿宋_GB2312" w:hAnsi="仿宋_GB2312" w:eastAsia="仿宋_GB2312" w:cs="仿宋_GB2312"/>
          <w:color w:val="404040"/>
          <w:sz w:val="32"/>
          <w:szCs w:val="32"/>
          <w:shd w:val="clear" w:color="auto" w:fill="FFFFFF"/>
        </w:rPr>
        <w:t>月</w:t>
      </w:r>
      <w:r>
        <w:rPr>
          <w:rFonts w:hint="eastAsia" w:ascii="仿宋_GB2312" w:hAnsi="仿宋_GB2312" w:eastAsia="仿宋_GB2312" w:cs="仿宋_GB2312"/>
          <w:color w:val="404040"/>
          <w:sz w:val="32"/>
          <w:szCs w:val="32"/>
          <w:shd w:val="clear" w:color="auto" w:fill="FFFFFF"/>
          <w:lang w:val="en-US" w:eastAsia="zh-CN"/>
        </w:rPr>
        <w:t>30</w:t>
      </w:r>
      <w:r>
        <w:rPr>
          <w:rFonts w:hint="eastAsia" w:ascii="仿宋_GB2312" w:hAnsi="仿宋_GB2312" w:eastAsia="仿宋_GB2312" w:cs="仿宋_GB2312"/>
          <w:color w:val="404040"/>
          <w:sz w:val="32"/>
          <w:szCs w:val="32"/>
          <w:shd w:val="clear" w:color="auto" w:fill="FFFFFF"/>
        </w:rPr>
        <w:t>日前报送广东省高新技术企业协会（《推荐表》与各申报企业的《申报书》均需推荐单位加盖单位公章）。</w:t>
      </w:r>
    </w:p>
    <w:p>
      <w:pPr>
        <w:pStyle w:val="4"/>
        <w:snapToGrid w:val="0"/>
        <w:spacing w:beforeLines="50" w:beforeAutospacing="0" w:afterLines="50" w:afterAutospacing="0" w:line="360" w:lineRule="auto"/>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w:t>
      </w:r>
      <w:r>
        <w:rPr>
          <w:rFonts w:hint="eastAsia" w:ascii="仿宋_GB2312" w:hAnsi="仿宋_GB2312" w:eastAsia="仿宋_GB2312" w:cs="仿宋_GB2312"/>
          <w:b/>
          <w:bCs/>
          <w:color w:val="404040"/>
          <w:sz w:val="32"/>
          <w:szCs w:val="32"/>
          <w:shd w:val="clear" w:color="auto" w:fill="FFFFFF"/>
        </w:rPr>
        <w:t>六、联系方式与受理地址</w:t>
      </w:r>
    </w:p>
    <w:p>
      <w:pPr>
        <w:pStyle w:val="4"/>
        <w:snapToGrid w:val="0"/>
        <w:spacing w:beforeLines="50" w:beforeAutospacing="0" w:after="0" w:afterAutospacing="0"/>
        <w:ind w:firstLine="60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广东省高新技术企业协会业务部</w:t>
      </w:r>
    </w:p>
    <w:p>
      <w:pPr>
        <w:pStyle w:val="4"/>
        <w:snapToGrid w:val="0"/>
        <w:spacing w:beforeLines="50" w:beforeAutospacing="0" w:after="0" w:afterAutospacing="0"/>
        <w:ind w:firstLine="600"/>
        <w:rPr>
          <w:rFonts w:hint="eastAsia" w:ascii="仿宋_GB2312" w:hAnsi="仿宋_GB2312" w:eastAsia="仿宋_GB2312" w:cs="仿宋_GB2312"/>
          <w:color w:val="404040"/>
          <w:sz w:val="32"/>
          <w:szCs w:val="32"/>
          <w:shd w:val="clear" w:color="auto" w:fill="FFFFFF"/>
        </w:rPr>
      </w:pPr>
    </w:p>
    <w:p>
      <w:pPr>
        <w:pStyle w:val="4"/>
        <w:snapToGrid w:val="0"/>
        <w:spacing w:beforeLines="50" w:beforeAutospacing="0" w:after="0" w:afterAutospacing="0"/>
        <w:ind w:firstLine="60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 xml:space="preserve">联系人： </w:t>
      </w:r>
      <w:r>
        <w:rPr>
          <w:rFonts w:hint="eastAsia" w:ascii="仿宋_GB2312" w:hAnsi="仿宋_GB2312" w:eastAsia="仿宋_GB2312" w:cs="仿宋_GB2312"/>
          <w:color w:val="404040"/>
          <w:sz w:val="32"/>
          <w:szCs w:val="32"/>
          <w:shd w:val="clear" w:color="auto" w:fill="FFFFFF"/>
          <w:lang w:eastAsia="zh-CN"/>
        </w:rPr>
        <w:t>钟嘉健</w:t>
      </w:r>
      <w:r>
        <w:rPr>
          <w:rFonts w:hint="eastAsia" w:ascii="仿宋_GB2312" w:hAnsi="仿宋_GB2312" w:eastAsia="仿宋_GB2312" w:cs="仿宋_GB2312"/>
          <w:color w:val="404040"/>
          <w:sz w:val="32"/>
          <w:szCs w:val="32"/>
          <w:shd w:val="clear" w:color="auto" w:fill="FFFFFF"/>
          <w:lang w:val="en-US" w:eastAsia="zh-CN"/>
        </w:rPr>
        <w:t xml:space="preserve">  020-38458669</w:t>
      </w:r>
    </w:p>
    <w:p>
      <w:pPr>
        <w:pStyle w:val="4"/>
        <w:snapToGrid w:val="0"/>
        <w:spacing w:beforeLines="50" w:beforeAutospacing="0" w:after="0" w:afterAutospacing="0"/>
        <w:ind w:left="2036" w:leftChars="284" w:hanging="1440" w:hangingChars="450"/>
        <w:rPr>
          <w:rFonts w:hint="eastAsia" w:ascii="仿宋_GB2312" w:hAnsi="仿宋_GB2312" w:eastAsia="仿宋_GB2312" w:cs="仿宋_GB2312"/>
          <w:color w:val="404040"/>
          <w:sz w:val="32"/>
          <w:szCs w:val="32"/>
          <w:shd w:val="clear" w:color="auto" w:fill="FFFFFF"/>
          <w:lang w:val="en-US" w:eastAsia="zh-CN"/>
        </w:rPr>
      </w:pPr>
      <w:r>
        <w:rPr>
          <w:rFonts w:hint="eastAsia" w:ascii="仿宋_GB2312" w:hAnsi="仿宋_GB2312" w:eastAsia="仿宋_GB2312" w:cs="仿宋_GB2312"/>
          <w:color w:val="404040"/>
          <w:sz w:val="32"/>
          <w:szCs w:val="32"/>
          <w:shd w:val="clear" w:color="auto" w:fill="FFFFFF"/>
          <w:lang w:val="en-US" w:eastAsia="zh-CN"/>
        </w:rPr>
        <w:t xml:space="preserve">         </w:t>
      </w:r>
      <w:r>
        <w:rPr>
          <w:rFonts w:hint="eastAsia" w:ascii="仿宋_GB2312" w:hAnsi="仿宋_GB2312" w:eastAsia="仿宋_GB2312" w:cs="仿宋_GB2312"/>
          <w:color w:val="404040"/>
          <w:sz w:val="32"/>
          <w:szCs w:val="32"/>
          <w:shd w:val="clear" w:color="auto" w:fill="FFFFFF"/>
        </w:rPr>
        <w:t>李佳妮  020-384586</w:t>
      </w:r>
      <w:r>
        <w:rPr>
          <w:rFonts w:hint="eastAsia" w:ascii="仿宋_GB2312" w:hAnsi="仿宋_GB2312" w:eastAsia="仿宋_GB2312" w:cs="仿宋_GB2312"/>
          <w:color w:val="404040"/>
          <w:sz w:val="32"/>
          <w:szCs w:val="32"/>
          <w:shd w:val="clear" w:color="auto" w:fill="FFFFFF"/>
          <w:lang w:val="en-US" w:eastAsia="zh-CN"/>
        </w:rPr>
        <w:t>9</w:t>
      </w:r>
      <w:r>
        <w:rPr>
          <w:rFonts w:hint="eastAsia" w:ascii="仿宋_GB2312" w:hAnsi="仿宋_GB2312" w:eastAsia="仿宋_GB2312" w:cs="仿宋_GB2312"/>
          <w:color w:val="404040"/>
          <w:sz w:val="32"/>
          <w:szCs w:val="32"/>
          <w:shd w:val="clear" w:color="auto" w:fill="FFFFFF"/>
        </w:rPr>
        <w:t>9</w:t>
      </w:r>
    </w:p>
    <w:p>
      <w:pPr>
        <w:pStyle w:val="4"/>
        <w:snapToGrid w:val="0"/>
        <w:spacing w:beforeLines="50" w:beforeAutospacing="0" w:after="0" w:afterAutospacing="0"/>
        <w:ind w:left="2036" w:leftChars="284" w:hanging="1440" w:hangingChars="450"/>
        <w:rPr>
          <w:rFonts w:hint="eastAsia" w:ascii="仿宋_GB2312" w:hAnsi="仿宋_GB2312" w:eastAsia="仿宋_GB2312" w:cs="仿宋_GB2312"/>
          <w:color w:val="404040"/>
          <w:sz w:val="32"/>
          <w:szCs w:val="32"/>
          <w:shd w:val="clear" w:color="auto" w:fill="FFFFFF"/>
        </w:rPr>
      </w:pPr>
    </w:p>
    <w:p>
      <w:pPr>
        <w:pStyle w:val="4"/>
        <w:snapToGrid w:val="0"/>
        <w:spacing w:beforeLines="50" w:beforeAutospacing="0" w:after="0" w:afterAutospacing="0"/>
        <w:ind w:left="2036" w:leftChars="284" w:hanging="1440" w:hangingChars="45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受理地址：广州市天河区东莞庄一横路116号广东生产力大厦708</w:t>
      </w:r>
    </w:p>
    <w:p>
      <w:pPr>
        <w:pStyle w:val="4"/>
        <w:snapToGrid w:val="0"/>
        <w:spacing w:beforeLines="50" w:beforeAutospacing="0" w:after="0" w:afterAutospacing="0"/>
        <w:ind w:left="2036" w:leftChars="284" w:hanging="1440" w:hangingChars="450"/>
        <w:jc w:val="center"/>
        <w:rPr>
          <w:rFonts w:hint="eastAsia" w:ascii="仿宋_GB2312" w:hAnsi="仿宋_GB2312" w:eastAsia="仿宋_GB2312" w:cs="仿宋_GB2312"/>
          <w:color w:val="404040"/>
          <w:sz w:val="32"/>
          <w:szCs w:val="32"/>
          <w:shd w:val="clear" w:color="auto" w:fill="FFFFFF"/>
        </w:rPr>
      </w:pPr>
    </w:p>
    <w:p>
      <w:pPr>
        <w:pStyle w:val="4"/>
        <w:snapToGrid w:val="0"/>
        <w:spacing w:beforeLines="50" w:beforeAutospacing="0" w:after="0" w:afterAutospacing="0"/>
        <w:ind w:left="2036" w:leftChars="284" w:hanging="1440" w:hangingChars="450"/>
        <w:rPr>
          <w:rFonts w:hint="eastAsia" w:ascii="仿宋_GB2312" w:hAnsi="仿宋_GB2312" w:eastAsia="仿宋_GB2312" w:cs="仿宋_GB2312"/>
          <w:color w:val="404040"/>
          <w:sz w:val="32"/>
          <w:szCs w:val="32"/>
          <w:shd w:val="clear" w:color="auto" w:fill="FFFFFF"/>
        </w:rPr>
      </w:pPr>
      <w:r>
        <w:rPr>
          <w:rFonts w:hint="eastAsia" w:ascii="仿宋_GB2312" w:hAnsi="仿宋_GB2312" w:eastAsia="仿宋_GB2312" w:cs="仿宋_GB2312"/>
          <w:color w:val="404040"/>
          <w:sz w:val="32"/>
          <w:szCs w:val="32"/>
          <w:shd w:val="clear" w:color="auto" w:fill="FFFFFF"/>
        </w:rPr>
        <w:t>邮政编码：510610</w:t>
      </w:r>
    </w:p>
    <w:p>
      <w:pPr>
        <w:pStyle w:val="4"/>
        <w:snapToGrid w:val="0"/>
        <w:spacing w:line="368" w:lineRule="atLeast"/>
        <w:ind w:firstLine="585"/>
        <w:rPr>
          <w:rFonts w:hint="eastAsia" w:ascii="仿宋_GB2312" w:hAnsi="仿宋_GB2312" w:eastAsia="仿宋_GB2312" w:cs="仿宋_GB2312"/>
          <w:color w:val="404040"/>
          <w:sz w:val="32"/>
          <w:szCs w:val="32"/>
          <w:shd w:val="clear" w:color="auto" w:fill="FFFFFF"/>
        </w:rPr>
      </w:pPr>
    </w:p>
    <w:p>
      <w:pPr>
        <w:pStyle w:val="4"/>
        <w:tabs>
          <w:tab w:val="left" w:pos="540"/>
        </w:tabs>
        <w:snapToGrid w:val="0"/>
        <w:spacing w:beforeLines="50" w:beforeAutospacing="0" w:afterLines="50" w:afterAutospacing="0"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 1.广东省创新型企业评价指标体系及说明</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2.广东省创新型企业评价（认定）申报书</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u w:val="none"/>
        </w:rPr>
        <w:t xml:space="preserve"> 3.广东省201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年创新型企业评价（认定）推荐表</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4.创新型企业试点、评价（认定）工作的情况介绍</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5.2017广东省创新型企业联系人</w:t>
      </w: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p>
    <w:p>
      <w:pPr>
        <w:pStyle w:val="4"/>
        <w:snapToGrid w:val="0"/>
        <w:spacing w:beforeLines="50" w:beforeAutospacing="0" w:afterLines="50" w:afterAutospacing="0" w:line="360" w:lineRule="auto"/>
        <w:ind w:firstLine="600"/>
        <w:rPr>
          <w:rFonts w:hint="eastAsia" w:ascii="仿宋_GB2312" w:hAnsi="仿宋_GB2312" w:eastAsia="仿宋_GB2312" w:cs="仿宋_GB2312"/>
          <w:sz w:val="32"/>
          <w:szCs w:val="32"/>
        </w:rPr>
      </w:pPr>
    </w:p>
    <w:p>
      <w:pPr>
        <w:pStyle w:val="4"/>
        <w:snapToGrid w:val="0"/>
        <w:spacing w:beforeLines="50" w:beforeAutospacing="0" w:afterLines="50" w:afterAutospacing="0" w:line="360" w:lineRule="auto"/>
        <w:ind w:firstLine="600"/>
        <w:jc w:val="right"/>
        <w:rPr>
          <w:rFonts w:hint="eastAsia" w:ascii="仿宋_GB2312" w:hAnsi="仿宋_GB2312" w:eastAsia="仿宋_GB2312" w:cs="仿宋_GB2312"/>
          <w:sz w:val="32"/>
          <w:szCs w:val="32"/>
        </w:rPr>
      </w:pPr>
    </w:p>
    <w:p>
      <w:pPr>
        <w:pStyle w:val="4"/>
        <w:snapToGrid w:val="0"/>
        <w:spacing w:beforeLines="50" w:beforeAutospacing="0" w:afterLines="50" w:afterAutospacing="0" w:line="360" w:lineRule="auto"/>
        <w:ind w:firstLine="6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广东省高新技术企业协会</w:t>
      </w:r>
    </w:p>
    <w:p>
      <w:pPr>
        <w:pStyle w:val="4"/>
        <w:snapToGrid w:val="0"/>
        <w:spacing w:beforeLines="50" w:beforeAutospacing="0" w:afterLines="50" w:afterAutospacing="0" w:line="360" w:lineRule="auto"/>
        <w:ind w:firstLine="6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bookmarkStart w:id="16" w:name="_GoBack"/>
      <w:bookmarkEnd w:id="16"/>
      <w:r>
        <w:rPr>
          <w:rFonts w:hint="eastAsia" w:ascii="仿宋_GB2312" w:hAnsi="仿宋_GB2312" w:eastAsia="仿宋_GB2312" w:cs="仿宋_GB2312"/>
          <w:sz w:val="32"/>
          <w:szCs w:val="32"/>
          <w:lang w:val="en-US" w:eastAsia="zh-CN"/>
        </w:rPr>
        <w:t>日</w:t>
      </w:r>
    </w:p>
    <w:p>
      <w:pPr>
        <w:pStyle w:val="4"/>
        <w:snapToGrid w:val="0"/>
        <w:spacing w:beforeLines="50" w:beforeAutospacing="0" w:afterLines="50" w:afterAutospacing="0" w:line="360" w:lineRule="auto"/>
        <w:ind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抄送：省科技厅高新处</w:t>
      </w:r>
    </w:p>
    <w:p>
      <w:pPr>
        <w:pStyle w:val="4"/>
        <w:snapToGrid w:val="0"/>
        <w:spacing w:beforeLines="50" w:beforeAutospacing="0" w:afterLines="50" w:afterAutospacing="0" w:line="360" w:lineRule="auto"/>
        <w:ind w:firstLine="600"/>
        <w:jc w:val="both"/>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Microsoft Yahei">
    <w:altName w:val="Times New Roman"/>
    <w:panose1 w:val="00000000000000000000"/>
    <w:charset w:val="00"/>
    <w:family w:val="roman"/>
    <w:pitch w:val="default"/>
    <w:sig w:usb0="00000000" w:usb1="00000000" w:usb2="00000000" w:usb3="00000000" w:csb0="00000000" w:csb1="00000000"/>
  </w:font>
  <w:font w:name="仿宋">
    <w:altName w:val="宋体"/>
    <w:panose1 w:val="02010609060101010101"/>
    <w:charset w:val="86"/>
    <w:family w:val="modern"/>
    <w:pitch w:val="default"/>
    <w:sig w:usb0="00000000" w:usb1="00000000" w:usb2="00000016" w:usb3="00000000" w:csb0="00040001" w:csb1="00000000"/>
  </w:font>
  <w:font w:name="仿宋">
    <w:altName w:val="宋体"/>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val="0"/>
  <w:bordersDoNotSurroundFooter w:val="0"/>
  <w:documentProtection w:enforcement="0"/>
  <w:defaultTabStop w:val="420"/>
  <w:drawingGridHorizontalSpacing w:val="107"/>
  <w:drawingGridVerticalSpacing w:val="159"/>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9AE"/>
    <w:rsid w:val="00015C4E"/>
    <w:rsid w:val="00175D7B"/>
    <w:rsid w:val="002A7262"/>
    <w:rsid w:val="00343D4F"/>
    <w:rsid w:val="00353A43"/>
    <w:rsid w:val="003E52F2"/>
    <w:rsid w:val="00594B5B"/>
    <w:rsid w:val="005C22C5"/>
    <w:rsid w:val="00613642"/>
    <w:rsid w:val="00755948"/>
    <w:rsid w:val="00786E33"/>
    <w:rsid w:val="007F6259"/>
    <w:rsid w:val="008043D2"/>
    <w:rsid w:val="008272A9"/>
    <w:rsid w:val="00943F4D"/>
    <w:rsid w:val="009A04FB"/>
    <w:rsid w:val="00B86BB8"/>
    <w:rsid w:val="00C0162F"/>
    <w:rsid w:val="00C7238A"/>
    <w:rsid w:val="00C920B5"/>
    <w:rsid w:val="00CE4F66"/>
    <w:rsid w:val="00D309AE"/>
    <w:rsid w:val="00F7496D"/>
    <w:rsid w:val="00FC332B"/>
    <w:rsid w:val="028553CC"/>
    <w:rsid w:val="02A8177A"/>
    <w:rsid w:val="03FA63AA"/>
    <w:rsid w:val="050A6F4B"/>
    <w:rsid w:val="0C263943"/>
    <w:rsid w:val="0E0417DC"/>
    <w:rsid w:val="0F7F39DE"/>
    <w:rsid w:val="13E50761"/>
    <w:rsid w:val="16430F4B"/>
    <w:rsid w:val="194E4240"/>
    <w:rsid w:val="28086D26"/>
    <w:rsid w:val="2986428F"/>
    <w:rsid w:val="2A202B23"/>
    <w:rsid w:val="3314553F"/>
    <w:rsid w:val="33256FF4"/>
    <w:rsid w:val="390362D8"/>
    <w:rsid w:val="399A169C"/>
    <w:rsid w:val="411B128C"/>
    <w:rsid w:val="42994C5C"/>
    <w:rsid w:val="4B423309"/>
    <w:rsid w:val="4DBC0D95"/>
    <w:rsid w:val="5001328A"/>
    <w:rsid w:val="539F78BD"/>
    <w:rsid w:val="5BFE4574"/>
    <w:rsid w:val="5C4A1475"/>
    <w:rsid w:val="5E4754E0"/>
    <w:rsid w:val="6168219B"/>
    <w:rsid w:val="67F43574"/>
    <w:rsid w:val="6AFE0A9E"/>
    <w:rsid w:val="6B315E9F"/>
    <w:rsid w:val="710A4CD6"/>
    <w:rsid w:val="75102A63"/>
    <w:rsid w:val="76CA4EC4"/>
    <w:rsid w:val="78BA7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99"/>
    <w:rPr>
      <w:b/>
      <w:bCs/>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21754F-D552-4EE3-978A-A07A26D87924}">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1973</Words>
  <Characters>2104</Characters>
  <Lines>15</Lines>
  <Paragraphs>4</Paragraphs>
  <ScaleCrop>false</ScaleCrop>
  <LinksUpToDate>false</LinksUpToDate>
  <CharactersWithSpaces>2163</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2016-09-06T08:50:00Z</dcterms:created>
  <dc:creator>Windows 用户</dc:creator>
  <cp:lastModifiedBy>Administrator</cp:lastModifiedBy>
  <cp:lastPrinted>2017-08-24T07:51:18Z</cp:lastPrinted>
  <dcterms:modified xsi:type="dcterms:W3CDTF">2017-08-24T07:51:31Z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